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34D" w:rsidRDefault="009A29E5" w:rsidP="006F334D">
      <w:pPr>
        <w:pStyle w:val="Heading1"/>
      </w:pPr>
      <w:r>
        <w:t xml:space="preserve">Basic </w:t>
      </w:r>
      <w:r w:rsidR="00AD54DF">
        <w:t xml:space="preserve">Tips for </w:t>
      </w:r>
      <w:r w:rsidR="002C76EB">
        <w:t>Choosing</w:t>
      </w:r>
      <w:r w:rsidR="006F70DB">
        <w:t xml:space="preserve"> Scales</w:t>
      </w:r>
    </w:p>
    <w:p w:rsidR="004B5CDA" w:rsidRDefault="004B5CDA" w:rsidP="004B5CDA">
      <w:pPr>
        <w:spacing w:after="0"/>
        <w:rPr>
          <w:b/>
        </w:rPr>
      </w:pPr>
    </w:p>
    <w:p w:rsidR="000838AA" w:rsidRPr="004B5CDA" w:rsidRDefault="000838AA" w:rsidP="00AD54DF">
      <w:r>
        <w:rPr>
          <w:b/>
        </w:rPr>
        <w:t xml:space="preserve">Whenever possible, rely on established items.  </w:t>
      </w:r>
      <w:r>
        <w:t>Creating survey items can be a difficult task which should include pilot testing and analysis</w:t>
      </w:r>
      <w:r w:rsidR="00151B01">
        <w:t>.  Instead of c</w:t>
      </w:r>
      <w:r w:rsidR="004B5CDA">
        <w:t>reating items from scratch,</w:t>
      </w:r>
      <w:r w:rsidR="002C5997">
        <w:t xml:space="preserve"> identify </w:t>
      </w:r>
      <w:r w:rsidR="006A051E">
        <w:t>questions</w:t>
      </w:r>
      <w:r w:rsidR="002C5997">
        <w:t xml:space="preserve"> that already exist and have been tested for validity an</w:t>
      </w:r>
      <w:r w:rsidR="002C5997" w:rsidRPr="00F404B4">
        <w:t xml:space="preserve">d reliability.  </w:t>
      </w:r>
      <w:r w:rsidR="005F0754" w:rsidRPr="00F404B4">
        <w:t>Validity examines whether or not an instrument “measures</w:t>
      </w:r>
      <w:r w:rsidR="00EC41DC">
        <w:t xml:space="preserve"> what it is supposed to measure</w:t>
      </w:r>
      <w:r w:rsidR="005F0754" w:rsidRPr="00F404B4">
        <w:t>”</w:t>
      </w:r>
      <w:r w:rsidR="00EC41DC">
        <w:t xml:space="preserve"> and</w:t>
      </w:r>
      <w:r w:rsidR="005F0754" w:rsidRPr="00F404B4">
        <w:t xml:space="preserve"> “</w:t>
      </w:r>
      <w:r w:rsidR="00EC41DC">
        <w:t>a</w:t>
      </w:r>
      <w:r w:rsidR="005F0754">
        <w:t xml:space="preserve"> reliable instrument is one that gives consistent results.”</w:t>
      </w:r>
      <w:r w:rsidR="00EC41DC" w:rsidRPr="00EC41DC">
        <w:rPr>
          <w:rStyle w:val="FootnoteReference"/>
        </w:rPr>
        <w:t xml:space="preserve"> </w:t>
      </w:r>
      <w:r w:rsidR="00EC41DC" w:rsidRPr="00F404B4">
        <w:rPr>
          <w:rStyle w:val="FootnoteReference"/>
        </w:rPr>
        <w:footnoteReference w:id="1"/>
      </w:r>
      <w:r w:rsidR="00EC41DC" w:rsidRPr="00F404B4">
        <w:t xml:space="preserve"> </w:t>
      </w:r>
      <w:r w:rsidR="00F404B4">
        <w:t xml:space="preserve"> </w:t>
      </w:r>
      <w:r w:rsidR="00B65554">
        <w:t>Valid and reliable</w:t>
      </w:r>
      <w:r w:rsidR="002C5997">
        <w:t xml:space="preserve"> questions are often found in journals, literature reviews,</w:t>
      </w:r>
      <w:r w:rsidR="00D91D03">
        <w:t xml:space="preserve"> or in</w:t>
      </w:r>
      <w:r w:rsidR="002C5997">
        <w:t xml:space="preserve"> national studies.</w:t>
      </w:r>
      <w:r>
        <w:t xml:space="preserve">  Whenever using established items, be sure to check both the copyright and the population </w:t>
      </w:r>
      <w:r w:rsidR="007D6205">
        <w:t xml:space="preserve">in which </w:t>
      </w:r>
      <w:r>
        <w:t xml:space="preserve">these items have </w:t>
      </w:r>
      <w:r w:rsidR="007D6205">
        <w:t>been validated</w:t>
      </w:r>
      <w:r w:rsidR="007D1E13">
        <w:t>.</w:t>
      </w:r>
      <w:bookmarkStart w:id="0" w:name="_GoBack"/>
      <w:bookmarkEnd w:id="0"/>
    </w:p>
    <w:p w:rsidR="006A51AD" w:rsidRDefault="006A51AD" w:rsidP="006A51AD">
      <w:r>
        <w:rPr>
          <w:b/>
        </w:rPr>
        <w:t>Choose stems carefully</w:t>
      </w:r>
      <w:r w:rsidRPr="004D5004">
        <w:rPr>
          <w:b/>
        </w:rPr>
        <w:t>.</w:t>
      </w:r>
      <w:r>
        <w:t xml:space="preserve">  The stems of questions and the scales should match.  Good stems often start with:</w:t>
      </w:r>
    </w:p>
    <w:p w:rsidR="006A51AD" w:rsidRDefault="006A51AD" w:rsidP="006A51AD">
      <w:pPr>
        <w:pStyle w:val="ListParagraph"/>
        <w:numPr>
          <w:ilvl w:val="0"/>
          <w:numId w:val="3"/>
        </w:numPr>
      </w:pPr>
      <w:r>
        <w:t>How would you rate the following… (use a quality scale)</w:t>
      </w:r>
    </w:p>
    <w:p w:rsidR="006A51AD" w:rsidRDefault="006A51AD" w:rsidP="006A51AD">
      <w:pPr>
        <w:pStyle w:val="ListParagraph"/>
        <w:numPr>
          <w:ilvl w:val="0"/>
          <w:numId w:val="3"/>
        </w:numPr>
      </w:pPr>
      <w:r>
        <w:t xml:space="preserve">How would you rate </w:t>
      </w:r>
      <w:proofErr w:type="gramStart"/>
      <w:r>
        <w:t>your</w:t>
      </w:r>
      <w:proofErr w:type="gramEnd"/>
      <w:r>
        <w:t xml:space="preserve"> (e.g., satisfaction, agreement, etc.) with the following…</w:t>
      </w:r>
    </w:p>
    <w:p w:rsidR="006A51AD" w:rsidRDefault="006A51AD" w:rsidP="006A51AD">
      <w:pPr>
        <w:pStyle w:val="ListParagraph"/>
        <w:numPr>
          <w:ilvl w:val="0"/>
          <w:numId w:val="3"/>
        </w:numPr>
      </w:pPr>
      <w:r>
        <w:t>To what extent do/ have/has…</w:t>
      </w:r>
    </w:p>
    <w:p w:rsidR="006A51AD" w:rsidRDefault="006A51AD" w:rsidP="006A51AD">
      <w:pPr>
        <w:pStyle w:val="ListParagraph"/>
        <w:numPr>
          <w:ilvl w:val="0"/>
          <w:numId w:val="3"/>
        </w:numPr>
      </w:pPr>
      <w:r>
        <w:t>Over the past (e.g., two weeks), how often have you… (use a frequency scale)</w:t>
      </w:r>
    </w:p>
    <w:p w:rsidR="006A51AD" w:rsidRPr="008F4E30" w:rsidRDefault="006A51AD" w:rsidP="006A51AD">
      <w:r>
        <w:rPr>
          <w:b/>
        </w:rPr>
        <w:t>Reverse word some of the</w:t>
      </w:r>
      <w:r w:rsidRPr="00237E87">
        <w:rPr>
          <w:b/>
        </w:rPr>
        <w:t xml:space="preserve"> items. </w:t>
      </w:r>
      <w:r>
        <w:t>Reverse wording is useful when a set items are measured using the same scale.  Typically the items have a neutral or positive tone (e.g., If I had to do it over again, I would choose CWRU).  Reverse wording is simply including a few items with a negative tone (e.g., I do not feel comfortable at CWRU).  Reverse wording ensures that respondents pay closer attention to the survey and it helps minimizes response bias.</w:t>
      </w:r>
    </w:p>
    <w:p w:rsidR="00D72AD3" w:rsidRDefault="00D72AD3" w:rsidP="00D72AD3">
      <w:r>
        <w:rPr>
          <w:b/>
        </w:rPr>
        <w:t>Use the same scales</w:t>
      </w:r>
      <w:r w:rsidRPr="002C76EB">
        <w:rPr>
          <w:b/>
        </w:rPr>
        <w:t xml:space="preserve"> </w:t>
      </w:r>
      <w:r>
        <w:rPr>
          <w:b/>
        </w:rPr>
        <w:t xml:space="preserve">each time data is collected.  </w:t>
      </w:r>
      <w:r>
        <w:t>This makes it possible to compare results over time.  If results will be compared to other institutions, use the same scales that the other institutions are using.  Review your scales occasionally and make adjustments if they do not fit the question being asked or if the scale needs to be more balanced.</w:t>
      </w:r>
    </w:p>
    <w:p w:rsidR="006F334D" w:rsidRDefault="006F334D" w:rsidP="002C76EB">
      <w:r w:rsidRPr="002C76EB">
        <w:rPr>
          <w:b/>
        </w:rPr>
        <w:t xml:space="preserve">Use the same scale as </w:t>
      </w:r>
      <w:r w:rsidR="00FD356E">
        <w:rPr>
          <w:b/>
        </w:rPr>
        <w:t>much as possible</w:t>
      </w:r>
      <w:r w:rsidR="003838C1">
        <w:rPr>
          <w:b/>
        </w:rPr>
        <w:t xml:space="preserve"> in the instrument</w:t>
      </w:r>
      <w:r w:rsidR="00FD356E">
        <w:rPr>
          <w:b/>
        </w:rPr>
        <w:t xml:space="preserve"> (within reason)</w:t>
      </w:r>
      <w:r w:rsidRPr="002C76EB">
        <w:rPr>
          <w:b/>
        </w:rPr>
        <w:t xml:space="preserve">.  </w:t>
      </w:r>
      <w:r>
        <w:t>This makes it easier for the reader to move through the questions</w:t>
      </w:r>
      <w:r w:rsidR="006625A5">
        <w:t>,</w:t>
      </w:r>
      <w:r>
        <w:t xml:space="preserve"> which decr</w:t>
      </w:r>
      <w:r w:rsidR="006625A5">
        <w:t xml:space="preserve">eases the survey response time </w:t>
      </w:r>
      <w:r>
        <w:t>and increases the overall response rate.  It also makes it easier to analyze the data and design charts and graphs later on.</w:t>
      </w:r>
    </w:p>
    <w:p w:rsidR="00DE4785" w:rsidRPr="00DE4785" w:rsidRDefault="00DE4785" w:rsidP="002C76EB">
      <w:r>
        <w:rPr>
          <w:b/>
        </w:rPr>
        <w:t>When possible, o</w:t>
      </w:r>
      <w:r w:rsidRPr="00DE4785">
        <w:rPr>
          <w:b/>
        </w:rPr>
        <w:t>rganize the scales so all of the negative responses and positive responses</w:t>
      </w:r>
      <w:r w:rsidR="00C578B6">
        <w:rPr>
          <w:b/>
        </w:rPr>
        <w:t xml:space="preserve"> to scales</w:t>
      </w:r>
      <w:r w:rsidRPr="00DE4785">
        <w:rPr>
          <w:b/>
        </w:rPr>
        <w:t xml:space="preserve"> are on the same side.</w:t>
      </w:r>
      <w:r>
        <w:t xml:space="preserve">  This also helps the participant to move through the questions more quickly and reduces the chances of the participant making a mistake.</w:t>
      </w:r>
      <w:r w:rsidR="00C578B6">
        <w:t xml:space="preserve">  It will make it data analysis easier as well.</w:t>
      </w:r>
      <w:r>
        <w:t xml:space="preserve">  In specific circumstances, it may be appropriate to switch the order of the scales.</w:t>
      </w:r>
    </w:p>
    <w:p w:rsidR="00A848B2" w:rsidRDefault="00542258" w:rsidP="0007189C">
      <w:pPr>
        <w:spacing w:after="0"/>
      </w:pPr>
      <w:r>
        <w:rPr>
          <w:b/>
        </w:rPr>
        <w:lastRenderedPageBreak/>
        <w:t>We</w:t>
      </w:r>
      <w:r w:rsidR="00A848B2" w:rsidRPr="00DD7E45">
        <w:rPr>
          <w:b/>
        </w:rPr>
        <w:t xml:space="preserve"> don’t always need a scale.</w:t>
      </w:r>
      <w:r w:rsidR="00A848B2">
        <w:rPr>
          <w:b/>
        </w:rPr>
        <w:t xml:space="preserve">  </w:t>
      </w:r>
      <w:r w:rsidR="00A848B2">
        <w:t>A checklist can be appropriate at times, especially when trying to reduce the amount of time it takes to complete a survey.  For example, asking participants to check off the activities that they are most interested</w:t>
      </w:r>
      <w:r w:rsidR="006625A5">
        <w:t xml:space="preserve"> in</w:t>
      </w:r>
      <w:r w:rsidR="00A848B2">
        <w:t xml:space="preserve"> may be better than asking participants to explain the extent to which they are most interested in every activity on a list.  </w:t>
      </w:r>
    </w:p>
    <w:p w:rsidR="0007189C" w:rsidRDefault="0007189C" w:rsidP="00A848B2"/>
    <w:p w:rsidR="00AD54DF" w:rsidRDefault="00AD54DF" w:rsidP="00A65E16">
      <w:pPr>
        <w:pStyle w:val="Heading2"/>
      </w:pPr>
      <w:r>
        <w:t>Agreement</w:t>
      </w:r>
      <w:r w:rsidR="008E7AE4">
        <w:t xml:space="preserve">, Quality, and </w:t>
      </w:r>
      <w:r>
        <w:t>Satisfaction Scales</w:t>
      </w:r>
    </w:p>
    <w:p w:rsidR="002C76EB" w:rsidRDefault="001B12C1" w:rsidP="002C76EB">
      <w:r>
        <w:t>Agreement, quality and</w:t>
      </w:r>
      <w:r w:rsidR="006F70DB">
        <w:t xml:space="preserve"> satisfaction scales should be balanced with equally positive and negative options and the wording should match on both sides of the scale (e.g., </w:t>
      </w:r>
      <w:r w:rsidR="006F70DB" w:rsidRPr="002C76EB">
        <w:rPr>
          <w:i/>
        </w:rPr>
        <w:t>strongly</w:t>
      </w:r>
      <w:r w:rsidR="006F70DB">
        <w:t xml:space="preserve"> agree and </w:t>
      </w:r>
      <w:r w:rsidR="006F70DB" w:rsidRPr="002C76EB">
        <w:rPr>
          <w:i/>
        </w:rPr>
        <w:t xml:space="preserve">strongly </w:t>
      </w:r>
      <w:r w:rsidR="006F70DB">
        <w:t>disagree</w:t>
      </w:r>
      <w:r w:rsidR="006F334D">
        <w:t xml:space="preserve"> vs. </w:t>
      </w:r>
      <w:r w:rsidR="006F334D" w:rsidRPr="002C76EB">
        <w:rPr>
          <w:i/>
        </w:rPr>
        <w:t>strongly</w:t>
      </w:r>
      <w:r w:rsidR="006F334D">
        <w:t xml:space="preserve"> agree and agree </w:t>
      </w:r>
      <w:r w:rsidR="002C76EB" w:rsidRPr="002C76EB">
        <w:rPr>
          <w:i/>
        </w:rPr>
        <w:t>very much</w:t>
      </w:r>
      <w:r w:rsidR="006F70DB">
        <w:t xml:space="preserve">).  </w:t>
      </w:r>
    </w:p>
    <w:p w:rsidR="00AB66DE" w:rsidRPr="00AB66DE" w:rsidRDefault="00AD54DF" w:rsidP="002C76EB">
      <w:r>
        <w:t xml:space="preserve">Although there has been </w:t>
      </w:r>
      <w:r w:rsidR="002C76EB">
        <w:t>discussion among researchers about whether or not to include a neutral option in scales, there is no</w:t>
      </w:r>
      <w:r>
        <w:t xml:space="preserve"> standard practice.  However, you should know that t</w:t>
      </w:r>
      <w:r w:rsidR="002C76EB">
        <w:t>he level of satisfaction</w:t>
      </w:r>
      <w:r w:rsidR="00915C2B">
        <w:t>, quality,</w:t>
      </w:r>
      <w:r w:rsidR="002C76EB">
        <w:t xml:space="preserve"> or agreement is likely to increase or decrease if a neutral option is provided.</w:t>
      </w:r>
    </w:p>
    <w:p w:rsidR="003838C1" w:rsidRPr="00082B39" w:rsidRDefault="003838C1" w:rsidP="002C76EB">
      <w:pPr>
        <w:rPr>
          <w:i/>
        </w:rPr>
      </w:pPr>
      <w:r w:rsidRPr="00082B39">
        <w:rPr>
          <w:i/>
        </w:rPr>
        <w:t>Example</w:t>
      </w:r>
      <w:r w:rsidR="00190E47">
        <w:rPr>
          <w:i/>
        </w:rPr>
        <w:t>s</w:t>
      </w:r>
    </w:p>
    <w:tbl>
      <w:tblPr>
        <w:tblStyle w:val="TableGrid"/>
        <w:tblW w:w="96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0"/>
        <w:gridCol w:w="1546"/>
        <w:gridCol w:w="1558"/>
        <w:gridCol w:w="2013"/>
        <w:gridCol w:w="2212"/>
      </w:tblGrid>
      <w:tr w:rsidR="003838C1" w:rsidTr="00D749F4">
        <w:trPr>
          <w:trHeight w:val="274"/>
        </w:trPr>
        <w:tc>
          <w:tcPr>
            <w:tcW w:w="2370" w:type="dxa"/>
          </w:tcPr>
          <w:p w:rsidR="003838C1" w:rsidRDefault="003838C1" w:rsidP="00711C95">
            <w:r>
              <w:t>Strongly Disagree</w:t>
            </w:r>
          </w:p>
        </w:tc>
        <w:tc>
          <w:tcPr>
            <w:tcW w:w="1546" w:type="dxa"/>
          </w:tcPr>
          <w:p w:rsidR="003838C1" w:rsidRDefault="003838C1" w:rsidP="00711C95">
            <w:r>
              <w:t>Disagree</w:t>
            </w:r>
          </w:p>
        </w:tc>
        <w:tc>
          <w:tcPr>
            <w:tcW w:w="1558" w:type="dxa"/>
          </w:tcPr>
          <w:p w:rsidR="003838C1" w:rsidRDefault="003838C1" w:rsidP="00711C95">
            <w:r>
              <w:t>Agree</w:t>
            </w:r>
          </w:p>
        </w:tc>
        <w:tc>
          <w:tcPr>
            <w:tcW w:w="2013" w:type="dxa"/>
          </w:tcPr>
          <w:p w:rsidR="003838C1" w:rsidRDefault="003838C1" w:rsidP="00711C95">
            <w:r>
              <w:t>Strongly Agree</w:t>
            </w:r>
          </w:p>
        </w:tc>
        <w:tc>
          <w:tcPr>
            <w:tcW w:w="2212" w:type="dxa"/>
          </w:tcPr>
          <w:p w:rsidR="003838C1" w:rsidRDefault="003838C1" w:rsidP="00711C95"/>
        </w:tc>
      </w:tr>
      <w:tr w:rsidR="003838C1" w:rsidTr="00D749F4">
        <w:trPr>
          <w:trHeight w:val="274"/>
        </w:trPr>
        <w:tc>
          <w:tcPr>
            <w:tcW w:w="2370" w:type="dxa"/>
          </w:tcPr>
          <w:p w:rsidR="003838C1" w:rsidRDefault="003838C1" w:rsidP="00711C95">
            <w:r>
              <w:t>Strongly Disagree</w:t>
            </w:r>
          </w:p>
        </w:tc>
        <w:tc>
          <w:tcPr>
            <w:tcW w:w="1546" w:type="dxa"/>
          </w:tcPr>
          <w:p w:rsidR="003838C1" w:rsidRDefault="003838C1" w:rsidP="00711C95">
            <w:r>
              <w:t>Disagree</w:t>
            </w:r>
          </w:p>
        </w:tc>
        <w:tc>
          <w:tcPr>
            <w:tcW w:w="1558" w:type="dxa"/>
          </w:tcPr>
          <w:p w:rsidR="003838C1" w:rsidRDefault="003838C1" w:rsidP="00711C95">
            <w:r>
              <w:t>Neutral</w:t>
            </w:r>
          </w:p>
        </w:tc>
        <w:tc>
          <w:tcPr>
            <w:tcW w:w="2013" w:type="dxa"/>
          </w:tcPr>
          <w:p w:rsidR="003838C1" w:rsidRDefault="003838C1" w:rsidP="00711C95">
            <w:r>
              <w:t>Agree</w:t>
            </w:r>
          </w:p>
        </w:tc>
        <w:tc>
          <w:tcPr>
            <w:tcW w:w="2212" w:type="dxa"/>
          </w:tcPr>
          <w:p w:rsidR="003838C1" w:rsidRDefault="003838C1" w:rsidP="00711C95">
            <w:r>
              <w:t>Strongly Agree</w:t>
            </w:r>
          </w:p>
        </w:tc>
      </w:tr>
    </w:tbl>
    <w:p w:rsidR="008E7AE4" w:rsidRPr="00FE2F30" w:rsidRDefault="008E7AE4" w:rsidP="008E7AE4">
      <w:pPr>
        <w:rPr>
          <w:i/>
        </w:rPr>
      </w:pPr>
    </w:p>
    <w:tbl>
      <w:tblPr>
        <w:tblStyle w:val="TableGrid"/>
        <w:tblW w:w="90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1530"/>
        <w:gridCol w:w="1702"/>
        <w:gridCol w:w="2174"/>
        <w:gridCol w:w="1273"/>
      </w:tblGrid>
      <w:tr w:rsidR="008E7AE4" w:rsidTr="00EF72AA">
        <w:trPr>
          <w:trHeight w:val="298"/>
        </w:trPr>
        <w:tc>
          <w:tcPr>
            <w:tcW w:w="2348" w:type="dxa"/>
          </w:tcPr>
          <w:p w:rsidR="008E7AE4" w:rsidRDefault="008E7AE4" w:rsidP="00711C95">
            <w:r>
              <w:t>Poor</w:t>
            </w:r>
          </w:p>
        </w:tc>
        <w:tc>
          <w:tcPr>
            <w:tcW w:w="1530" w:type="dxa"/>
          </w:tcPr>
          <w:p w:rsidR="008E7AE4" w:rsidRDefault="008E7AE4" w:rsidP="00711C95">
            <w:r>
              <w:t>Fair</w:t>
            </w:r>
          </w:p>
        </w:tc>
        <w:tc>
          <w:tcPr>
            <w:tcW w:w="1702" w:type="dxa"/>
          </w:tcPr>
          <w:p w:rsidR="008E7AE4" w:rsidRDefault="008E7AE4" w:rsidP="00711C95">
            <w:r>
              <w:t>Good</w:t>
            </w:r>
          </w:p>
        </w:tc>
        <w:tc>
          <w:tcPr>
            <w:tcW w:w="2174" w:type="dxa"/>
          </w:tcPr>
          <w:p w:rsidR="008E7AE4" w:rsidRDefault="008E7AE4" w:rsidP="00711C95">
            <w:r>
              <w:t>Very Good</w:t>
            </w:r>
          </w:p>
        </w:tc>
        <w:tc>
          <w:tcPr>
            <w:tcW w:w="1273" w:type="dxa"/>
          </w:tcPr>
          <w:p w:rsidR="008E7AE4" w:rsidRDefault="008E7AE4" w:rsidP="00711C95"/>
        </w:tc>
      </w:tr>
      <w:tr w:rsidR="008E7AE4" w:rsidTr="00EF72AA">
        <w:trPr>
          <w:trHeight w:val="298"/>
        </w:trPr>
        <w:tc>
          <w:tcPr>
            <w:tcW w:w="2348" w:type="dxa"/>
          </w:tcPr>
          <w:p w:rsidR="008E7AE4" w:rsidRDefault="008E7AE4" w:rsidP="00711C95">
            <w:r>
              <w:t>Very Poor</w:t>
            </w:r>
          </w:p>
        </w:tc>
        <w:tc>
          <w:tcPr>
            <w:tcW w:w="1530" w:type="dxa"/>
          </w:tcPr>
          <w:p w:rsidR="008E7AE4" w:rsidRDefault="008E7AE4" w:rsidP="00711C95">
            <w:r>
              <w:t>Poor</w:t>
            </w:r>
          </w:p>
        </w:tc>
        <w:tc>
          <w:tcPr>
            <w:tcW w:w="1702" w:type="dxa"/>
          </w:tcPr>
          <w:p w:rsidR="008E7AE4" w:rsidRDefault="008E7AE4" w:rsidP="00711C95">
            <w:r>
              <w:t>Fair</w:t>
            </w:r>
          </w:p>
        </w:tc>
        <w:tc>
          <w:tcPr>
            <w:tcW w:w="2174" w:type="dxa"/>
          </w:tcPr>
          <w:p w:rsidR="008E7AE4" w:rsidRDefault="008E7AE4" w:rsidP="00711C95">
            <w:r>
              <w:t>Good</w:t>
            </w:r>
          </w:p>
        </w:tc>
        <w:tc>
          <w:tcPr>
            <w:tcW w:w="1273" w:type="dxa"/>
          </w:tcPr>
          <w:p w:rsidR="008E7AE4" w:rsidRDefault="008E7AE4" w:rsidP="00711C95">
            <w:r>
              <w:t>Very Good</w:t>
            </w:r>
          </w:p>
        </w:tc>
      </w:tr>
    </w:tbl>
    <w:p w:rsidR="003838C1" w:rsidRPr="00082B39" w:rsidRDefault="003838C1" w:rsidP="00AD54DF">
      <w:pPr>
        <w:rPr>
          <w:i/>
        </w:rPr>
      </w:pPr>
    </w:p>
    <w:tbl>
      <w:tblPr>
        <w:tblStyle w:val="TableGrid"/>
        <w:tblW w:w="97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1551"/>
        <w:gridCol w:w="1562"/>
        <w:gridCol w:w="2019"/>
        <w:gridCol w:w="2218"/>
      </w:tblGrid>
      <w:tr w:rsidR="00190E47" w:rsidTr="0007189C">
        <w:trPr>
          <w:trHeight w:val="269"/>
        </w:trPr>
        <w:tc>
          <w:tcPr>
            <w:tcW w:w="2377" w:type="dxa"/>
          </w:tcPr>
          <w:p w:rsidR="00190E47" w:rsidRDefault="00190E47" w:rsidP="00711C95">
            <w:r>
              <w:t>Very Dissatisfied</w:t>
            </w:r>
          </w:p>
        </w:tc>
        <w:tc>
          <w:tcPr>
            <w:tcW w:w="1551" w:type="dxa"/>
          </w:tcPr>
          <w:p w:rsidR="00190E47" w:rsidRDefault="00190E47" w:rsidP="00711C95">
            <w:r>
              <w:t>Dissatisfied</w:t>
            </w:r>
          </w:p>
        </w:tc>
        <w:tc>
          <w:tcPr>
            <w:tcW w:w="1562" w:type="dxa"/>
          </w:tcPr>
          <w:p w:rsidR="00190E47" w:rsidRDefault="00190E47" w:rsidP="00711C95">
            <w:r>
              <w:t>Satisfied</w:t>
            </w:r>
          </w:p>
        </w:tc>
        <w:tc>
          <w:tcPr>
            <w:tcW w:w="2019" w:type="dxa"/>
          </w:tcPr>
          <w:p w:rsidR="00190E47" w:rsidRDefault="00190E47" w:rsidP="00711C95">
            <w:r>
              <w:t>Very Satisfied</w:t>
            </w:r>
          </w:p>
        </w:tc>
        <w:tc>
          <w:tcPr>
            <w:tcW w:w="2218" w:type="dxa"/>
          </w:tcPr>
          <w:p w:rsidR="00190E47" w:rsidRDefault="00190E47" w:rsidP="00711C95"/>
        </w:tc>
      </w:tr>
      <w:tr w:rsidR="00190E47" w:rsidTr="0007189C">
        <w:trPr>
          <w:trHeight w:val="284"/>
        </w:trPr>
        <w:tc>
          <w:tcPr>
            <w:tcW w:w="2377" w:type="dxa"/>
          </w:tcPr>
          <w:p w:rsidR="00190E47" w:rsidRDefault="00190E47" w:rsidP="00711C95">
            <w:r>
              <w:t>Very Dissatisfied</w:t>
            </w:r>
          </w:p>
        </w:tc>
        <w:tc>
          <w:tcPr>
            <w:tcW w:w="1551" w:type="dxa"/>
          </w:tcPr>
          <w:p w:rsidR="00190E47" w:rsidRDefault="00190E47" w:rsidP="00711C95">
            <w:r>
              <w:t>Dissatisfied</w:t>
            </w:r>
          </w:p>
        </w:tc>
        <w:tc>
          <w:tcPr>
            <w:tcW w:w="1562" w:type="dxa"/>
          </w:tcPr>
          <w:p w:rsidR="00190E47" w:rsidRDefault="00190E47" w:rsidP="00711C95">
            <w:r>
              <w:t>Neutral</w:t>
            </w:r>
          </w:p>
        </w:tc>
        <w:tc>
          <w:tcPr>
            <w:tcW w:w="2019" w:type="dxa"/>
          </w:tcPr>
          <w:p w:rsidR="00190E47" w:rsidRDefault="00190E47" w:rsidP="00711C95">
            <w:r>
              <w:t>Satisfied</w:t>
            </w:r>
          </w:p>
        </w:tc>
        <w:tc>
          <w:tcPr>
            <w:tcW w:w="2218" w:type="dxa"/>
          </w:tcPr>
          <w:p w:rsidR="00190E47" w:rsidRDefault="00190E47" w:rsidP="00711C95">
            <w:r>
              <w:t>Very Satisfied</w:t>
            </w:r>
          </w:p>
        </w:tc>
      </w:tr>
    </w:tbl>
    <w:p w:rsidR="00190E47" w:rsidRDefault="00190E47" w:rsidP="006F70DB">
      <w:pPr>
        <w:rPr>
          <w:b/>
        </w:rPr>
      </w:pPr>
    </w:p>
    <w:p w:rsidR="006F70DB" w:rsidRPr="00210A51" w:rsidRDefault="00210A51" w:rsidP="00A65E16">
      <w:pPr>
        <w:pStyle w:val="Heading2"/>
      </w:pPr>
      <w:r>
        <w:t>Importance</w:t>
      </w:r>
      <w:r w:rsidR="003F6428">
        <w:t>, Difficulty,</w:t>
      </w:r>
      <w:r w:rsidR="00586394">
        <w:t xml:space="preserve"> and Impact</w:t>
      </w:r>
      <w:r>
        <w:t xml:space="preserve"> Scales</w:t>
      </w:r>
    </w:p>
    <w:p w:rsidR="007E0898" w:rsidRPr="004E241B" w:rsidRDefault="00210A51" w:rsidP="00210A51">
      <w:r>
        <w:t xml:space="preserve">Scales that measure the level of </w:t>
      </w:r>
      <w:r w:rsidR="00A84997">
        <w:t>importance</w:t>
      </w:r>
      <w:r w:rsidR="001049F5">
        <w:t>, difficulty</w:t>
      </w:r>
      <w:r w:rsidR="003F6428">
        <w:t xml:space="preserve"> or</w:t>
      </w:r>
      <w:r w:rsidR="00586394">
        <w:t xml:space="preserve"> impact</w:t>
      </w:r>
      <w:r w:rsidR="004D1971">
        <w:t xml:space="preserve"> increase incrementally and tend to start with the words “To what extent….”</w:t>
      </w:r>
      <w:r>
        <w:t xml:space="preserve"> </w:t>
      </w:r>
      <w:r w:rsidR="004D1971">
        <w:t xml:space="preserve">  These types of scales </w:t>
      </w:r>
      <w:r>
        <w:t>do not include a neutral option.</w:t>
      </w:r>
    </w:p>
    <w:p w:rsidR="00210A51" w:rsidRPr="004E241B" w:rsidRDefault="00586394" w:rsidP="00210A51">
      <w:pPr>
        <w:rPr>
          <w:i/>
        </w:rPr>
      </w:pPr>
      <w:r w:rsidRPr="004E241B">
        <w:rPr>
          <w:i/>
        </w:rPr>
        <w:t>Examples:</w:t>
      </w:r>
    </w:p>
    <w:tbl>
      <w:tblPr>
        <w:tblStyle w:val="TableGrid"/>
        <w:tblW w:w="9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2068"/>
        <w:gridCol w:w="2430"/>
        <w:gridCol w:w="1781"/>
        <w:gridCol w:w="1578"/>
      </w:tblGrid>
      <w:tr w:rsidR="003F6428" w:rsidTr="0007189C">
        <w:trPr>
          <w:trHeight w:val="274"/>
        </w:trPr>
        <w:tc>
          <w:tcPr>
            <w:tcW w:w="1602" w:type="dxa"/>
          </w:tcPr>
          <w:p w:rsidR="003F6428" w:rsidRDefault="003F6428" w:rsidP="00711C95">
            <w:r>
              <w:t>Not at All</w:t>
            </w:r>
          </w:p>
        </w:tc>
        <w:tc>
          <w:tcPr>
            <w:tcW w:w="2068" w:type="dxa"/>
          </w:tcPr>
          <w:p w:rsidR="003F6428" w:rsidRDefault="003F6428" w:rsidP="00711C95">
            <w:r>
              <w:t>A Little</w:t>
            </w:r>
          </w:p>
        </w:tc>
        <w:tc>
          <w:tcPr>
            <w:tcW w:w="2430" w:type="dxa"/>
          </w:tcPr>
          <w:p w:rsidR="003F6428" w:rsidRDefault="003F6428" w:rsidP="00711C95">
            <w:r>
              <w:t>Moderately</w:t>
            </w:r>
          </w:p>
        </w:tc>
        <w:tc>
          <w:tcPr>
            <w:tcW w:w="1781" w:type="dxa"/>
          </w:tcPr>
          <w:p w:rsidR="003F6428" w:rsidRDefault="003F6428" w:rsidP="00711C95">
            <w:r>
              <w:t>Very</w:t>
            </w:r>
          </w:p>
        </w:tc>
        <w:tc>
          <w:tcPr>
            <w:tcW w:w="1578" w:type="dxa"/>
          </w:tcPr>
          <w:p w:rsidR="003F6428" w:rsidRDefault="003F6428" w:rsidP="00711C95"/>
        </w:tc>
      </w:tr>
      <w:tr w:rsidR="003F6428" w:rsidTr="0007189C">
        <w:trPr>
          <w:trHeight w:val="274"/>
        </w:trPr>
        <w:tc>
          <w:tcPr>
            <w:tcW w:w="1602" w:type="dxa"/>
          </w:tcPr>
          <w:p w:rsidR="003F6428" w:rsidRDefault="003F6428" w:rsidP="00711C95">
            <w:r>
              <w:t>Not at All</w:t>
            </w:r>
          </w:p>
        </w:tc>
        <w:tc>
          <w:tcPr>
            <w:tcW w:w="2068" w:type="dxa"/>
          </w:tcPr>
          <w:p w:rsidR="003F6428" w:rsidRDefault="003F6428" w:rsidP="00711C95">
            <w:r>
              <w:t>Slightly</w:t>
            </w:r>
          </w:p>
        </w:tc>
        <w:tc>
          <w:tcPr>
            <w:tcW w:w="2430" w:type="dxa"/>
          </w:tcPr>
          <w:p w:rsidR="003F6428" w:rsidRDefault="003F6428" w:rsidP="00711C95">
            <w:r>
              <w:t>Somewhat</w:t>
            </w:r>
          </w:p>
        </w:tc>
        <w:tc>
          <w:tcPr>
            <w:tcW w:w="1781" w:type="dxa"/>
          </w:tcPr>
          <w:p w:rsidR="003F6428" w:rsidRDefault="003F6428" w:rsidP="00711C95">
            <w:r>
              <w:t>Very</w:t>
            </w:r>
          </w:p>
        </w:tc>
        <w:tc>
          <w:tcPr>
            <w:tcW w:w="1578" w:type="dxa"/>
          </w:tcPr>
          <w:p w:rsidR="003F6428" w:rsidRDefault="003F6428" w:rsidP="00711C95">
            <w:r>
              <w:t>Extremely</w:t>
            </w:r>
          </w:p>
        </w:tc>
      </w:tr>
      <w:tr w:rsidR="003F6428" w:rsidTr="0007189C">
        <w:trPr>
          <w:trHeight w:val="274"/>
        </w:trPr>
        <w:tc>
          <w:tcPr>
            <w:tcW w:w="1602" w:type="dxa"/>
          </w:tcPr>
          <w:p w:rsidR="003F6428" w:rsidRDefault="003F6428" w:rsidP="00711C95"/>
        </w:tc>
        <w:tc>
          <w:tcPr>
            <w:tcW w:w="2068" w:type="dxa"/>
          </w:tcPr>
          <w:p w:rsidR="003F6428" w:rsidRDefault="003F6428" w:rsidP="00711C95"/>
        </w:tc>
        <w:tc>
          <w:tcPr>
            <w:tcW w:w="2430" w:type="dxa"/>
          </w:tcPr>
          <w:p w:rsidR="003F6428" w:rsidRDefault="003F6428" w:rsidP="00711C95"/>
        </w:tc>
        <w:tc>
          <w:tcPr>
            <w:tcW w:w="1781" w:type="dxa"/>
          </w:tcPr>
          <w:p w:rsidR="003F6428" w:rsidRDefault="003F6428" w:rsidP="00711C95"/>
        </w:tc>
        <w:tc>
          <w:tcPr>
            <w:tcW w:w="1578" w:type="dxa"/>
          </w:tcPr>
          <w:p w:rsidR="003F6428" w:rsidRDefault="003F6428" w:rsidP="00711C95"/>
        </w:tc>
      </w:tr>
      <w:tr w:rsidR="003F6428" w:rsidTr="0007189C">
        <w:trPr>
          <w:trHeight w:val="274"/>
        </w:trPr>
        <w:tc>
          <w:tcPr>
            <w:tcW w:w="1602" w:type="dxa"/>
          </w:tcPr>
          <w:p w:rsidR="003F6428" w:rsidRDefault="003F6428" w:rsidP="00711C95">
            <w:r>
              <w:t>Very Difficult</w:t>
            </w:r>
          </w:p>
        </w:tc>
        <w:tc>
          <w:tcPr>
            <w:tcW w:w="2068" w:type="dxa"/>
          </w:tcPr>
          <w:p w:rsidR="003F6428" w:rsidRDefault="003F6428" w:rsidP="00711C95">
            <w:r>
              <w:t>Somewhat Difficult</w:t>
            </w:r>
          </w:p>
        </w:tc>
        <w:tc>
          <w:tcPr>
            <w:tcW w:w="2430" w:type="dxa"/>
          </w:tcPr>
          <w:p w:rsidR="003F6428" w:rsidRDefault="003F6428" w:rsidP="00711C95">
            <w:r>
              <w:t>Somewhat Easy</w:t>
            </w:r>
          </w:p>
        </w:tc>
        <w:tc>
          <w:tcPr>
            <w:tcW w:w="1781" w:type="dxa"/>
          </w:tcPr>
          <w:p w:rsidR="003F6428" w:rsidRDefault="003F6428" w:rsidP="00711C95">
            <w:r>
              <w:t>Very Easy</w:t>
            </w:r>
          </w:p>
        </w:tc>
        <w:tc>
          <w:tcPr>
            <w:tcW w:w="1578" w:type="dxa"/>
          </w:tcPr>
          <w:p w:rsidR="003F6428" w:rsidRDefault="003F6428" w:rsidP="00711C95"/>
        </w:tc>
      </w:tr>
    </w:tbl>
    <w:p w:rsidR="00A84997" w:rsidRDefault="00A84997" w:rsidP="006F70DB"/>
    <w:p w:rsidR="0069108A" w:rsidRDefault="0069108A" w:rsidP="006F70DB"/>
    <w:p w:rsidR="0069108A" w:rsidRDefault="0069108A" w:rsidP="006F70DB"/>
    <w:p w:rsidR="00055CEB" w:rsidRPr="00210A51" w:rsidRDefault="00055CEB" w:rsidP="00A65E16">
      <w:pPr>
        <w:pStyle w:val="Heading2"/>
      </w:pPr>
      <w:r w:rsidRPr="00210A51">
        <w:lastRenderedPageBreak/>
        <w:t>Frequency Scales</w:t>
      </w:r>
    </w:p>
    <w:p w:rsidR="00055CEB" w:rsidRDefault="00210547" w:rsidP="00055CEB">
      <w:r>
        <w:t>S</w:t>
      </w:r>
      <w:r w:rsidR="00055CEB">
        <w:t xml:space="preserve">cales that measure the extent to which a person participates in an activity </w:t>
      </w:r>
      <w:r>
        <w:t xml:space="preserve">also </w:t>
      </w:r>
      <w:r w:rsidR="00055CEB">
        <w:t>increase incrementally and do not</w:t>
      </w:r>
      <w:r>
        <w:t xml:space="preserve"> need to be balanced or</w:t>
      </w:r>
      <w:r w:rsidR="00055CEB">
        <w:t xml:space="preserve"> include a neutral option.</w:t>
      </w:r>
      <w:r w:rsidR="00B61D85">
        <w:t xml:space="preserve">  These scales </w:t>
      </w:r>
      <w:r w:rsidR="00055CEB">
        <w:t>depend on the duration of the activity</w:t>
      </w:r>
      <w:r w:rsidR="00B61D85">
        <w:t xml:space="preserve"> and can be more difficult to develop</w:t>
      </w:r>
      <w:r w:rsidR="00055CEB">
        <w:t>.  The key to choosing a frequency scale is to:</w:t>
      </w:r>
    </w:p>
    <w:p w:rsidR="00055CEB" w:rsidRDefault="00055CEB" w:rsidP="00796C20">
      <w:pPr>
        <w:pStyle w:val="ListParagraph"/>
        <w:numPr>
          <w:ilvl w:val="0"/>
          <w:numId w:val="2"/>
        </w:numPr>
      </w:pPr>
      <w:r>
        <w:t>Dec</w:t>
      </w:r>
      <w:r w:rsidR="00210547">
        <w:t>ide how specific you want</w:t>
      </w:r>
      <w:r>
        <w:t xml:space="preserve"> to be</w:t>
      </w:r>
      <w:r w:rsidR="00796C20">
        <w:t>.  Remember that the fewer the options in the scale (e.g., 3 points rather than 5 or 7), the faster the par</w:t>
      </w:r>
      <w:r w:rsidR="00481F91">
        <w:t>ticipant can complete the survey</w:t>
      </w:r>
    </w:p>
    <w:p w:rsidR="00055CEB" w:rsidRDefault="00055CEB" w:rsidP="00055CEB">
      <w:pPr>
        <w:pStyle w:val="ListParagraph"/>
        <w:numPr>
          <w:ilvl w:val="0"/>
          <w:numId w:val="2"/>
        </w:numPr>
      </w:pPr>
      <w:r>
        <w:t>Ensure that every option a participant might</w:t>
      </w:r>
      <w:r w:rsidR="00B61D85">
        <w:t xml:space="preserve"> need</w:t>
      </w:r>
      <w:r>
        <w:t xml:space="preserve"> is available</w:t>
      </w:r>
    </w:p>
    <w:p w:rsidR="00E54E91" w:rsidRDefault="00055CEB" w:rsidP="00E54E91">
      <w:pPr>
        <w:pStyle w:val="ListParagraph"/>
        <w:numPr>
          <w:ilvl w:val="0"/>
          <w:numId w:val="2"/>
        </w:numPr>
      </w:pPr>
      <w:r>
        <w:t>Make sure none of the options overlap the other options</w:t>
      </w:r>
    </w:p>
    <w:p w:rsidR="004B5CDA" w:rsidRDefault="004B5CDA" w:rsidP="00055CEB">
      <w:pPr>
        <w:rPr>
          <w:i/>
        </w:rPr>
      </w:pPr>
    </w:p>
    <w:p w:rsidR="00055CEB" w:rsidRPr="007E0898" w:rsidRDefault="00821D3C" w:rsidP="00055CEB">
      <w:pPr>
        <w:rPr>
          <w:i/>
        </w:rPr>
      </w:pPr>
      <w:r>
        <w:rPr>
          <w:i/>
        </w:rPr>
        <w:t>Examples:</w:t>
      </w:r>
    </w:p>
    <w:tbl>
      <w:tblPr>
        <w:tblStyle w:val="TableGrid"/>
        <w:tblW w:w="9653" w:type="dxa"/>
        <w:tblInd w:w="108"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419"/>
        <w:gridCol w:w="1944"/>
        <w:gridCol w:w="1682"/>
        <w:gridCol w:w="1659"/>
        <w:gridCol w:w="2106"/>
        <w:gridCol w:w="843"/>
      </w:tblGrid>
      <w:tr w:rsidR="00B61D85" w:rsidTr="001B6426">
        <w:trPr>
          <w:trHeight w:val="278"/>
        </w:trPr>
        <w:tc>
          <w:tcPr>
            <w:tcW w:w="1419" w:type="dxa"/>
            <w:vAlign w:val="center"/>
          </w:tcPr>
          <w:p w:rsidR="00055CEB" w:rsidRDefault="00055CEB" w:rsidP="001B6426">
            <w:r>
              <w:t>Never</w:t>
            </w:r>
          </w:p>
        </w:tc>
        <w:tc>
          <w:tcPr>
            <w:tcW w:w="1944" w:type="dxa"/>
            <w:vAlign w:val="center"/>
          </w:tcPr>
          <w:p w:rsidR="00055CEB" w:rsidRDefault="00055CEB" w:rsidP="001B6426">
            <w:r>
              <w:t>Occasionally</w:t>
            </w:r>
          </w:p>
        </w:tc>
        <w:tc>
          <w:tcPr>
            <w:tcW w:w="1682" w:type="dxa"/>
            <w:vAlign w:val="center"/>
          </w:tcPr>
          <w:p w:rsidR="00055CEB" w:rsidRDefault="00055CEB" w:rsidP="001B6426">
            <w:r>
              <w:t>Frequently</w:t>
            </w:r>
          </w:p>
        </w:tc>
        <w:tc>
          <w:tcPr>
            <w:tcW w:w="1659" w:type="dxa"/>
            <w:vAlign w:val="center"/>
          </w:tcPr>
          <w:p w:rsidR="00055CEB" w:rsidRDefault="00055CEB" w:rsidP="001B6426"/>
        </w:tc>
        <w:tc>
          <w:tcPr>
            <w:tcW w:w="2106" w:type="dxa"/>
            <w:vAlign w:val="center"/>
          </w:tcPr>
          <w:p w:rsidR="00055CEB" w:rsidRDefault="00055CEB" w:rsidP="001B6426"/>
        </w:tc>
        <w:tc>
          <w:tcPr>
            <w:tcW w:w="843" w:type="dxa"/>
            <w:vAlign w:val="center"/>
          </w:tcPr>
          <w:p w:rsidR="00055CEB" w:rsidRDefault="00055CEB" w:rsidP="001B6426"/>
        </w:tc>
      </w:tr>
      <w:tr w:rsidR="00B61D85" w:rsidTr="001B6426">
        <w:trPr>
          <w:trHeight w:val="278"/>
        </w:trPr>
        <w:tc>
          <w:tcPr>
            <w:tcW w:w="1419" w:type="dxa"/>
            <w:vAlign w:val="center"/>
          </w:tcPr>
          <w:p w:rsidR="00055CEB" w:rsidRDefault="00055CEB" w:rsidP="001B6426">
            <w:r>
              <w:t>Never</w:t>
            </w:r>
          </w:p>
        </w:tc>
        <w:tc>
          <w:tcPr>
            <w:tcW w:w="1944" w:type="dxa"/>
            <w:vAlign w:val="center"/>
          </w:tcPr>
          <w:p w:rsidR="00055CEB" w:rsidRDefault="00055CEB" w:rsidP="001B6426">
            <w:r>
              <w:t>Rarely</w:t>
            </w:r>
          </w:p>
        </w:tc>
        <w:tc>
          <w:tcPr>
            <w:tcW w:w="1682" w:type="dxa"/>
            <w:vAlign w:val="center"/>
          </w:tcPr>
          <w:p w:rsidR="00055CEB" w:rsidRDefault="00055CEB" w:rsidP="001B6426">
            <w:r>
              <w:t>Sometimes</w:t>
            </w:r>
          </w:p>
        </w:tc>
        <w:tc>
          <w:tcPr>
            <w:tcW w:w="1659" w:type="dxa"/>
            <w:vAlign w:val="center"/>
          </w:tcPr>
          <w:p w:rsidR="00055CEB" w:rsidRDefault="00055CEB" w:rsidP="001B6426">
            <w:r>
              <w:t>Often</w:t>
            </w:r>
          </w:p>
        </w:tc>
        <w:tc>
          <w:tcPr>
            <w:tcW w:w="2106" w:type="dxa"/>
            <w:vAlign w:val="center"/>
          </w:tcPr>
          <w:p w:rsidR="00055CEB" w:rsidRDefault="00055CEB" w:rsidP="001B6426">
            <w:r>
              <w:t>Very Often</w:t>
            </w:r>
          </w:p>
        </w:tc>
        <w:tc>
          <w:tcPr>
            <w:tcW w:w="843" w:type="dxa"/>
            <w:vAlign w:val="center"/>
          </w:tcPr>
          <w:p w:rsidR="00055CEB" w:rsidRDefault="00055CEB" w:rsidP="001B6426"/>
        </w:tc>
      </w:tr>
      <w:tr w:rsidR="00B61D85" w:rsidTr="001B6426">
        <w:trPr>
          <w:trHeight w:val="278"/>
        </w:trPr>
        <w:tc>
          <w:tcPr>
            <w:tcW w:w="1419" w:type="dxa"/>
            <w:vAlign w:val="center"/>
          </w:tcPr>
          <w:p w:rsidR="00B61D85" w:rsidRDefault="00B61D85" w:rsidP="001B6426">
            <w:r>
              <w:t>Never</w:t>
            </w:r>
          </w:p>
        </w:tc>
        <w:tc>
          <w:tcPr>
            <w:tcW w:w="1944" w:type="dxa"/>
            <w:vAlign w:val="center"/>
          </w:tcPr>
          <w:p w:rsidR="00B61D85" w:rsidRDefault="00B61D85" w:rsidP="001B6426">
            <w:r>
              <w:t>1-2 times per Semester</w:t>
            </w:r>
          </w:p>
        </w:tc>
        <w:tc>
          <w:tcPr>
            <w:tcW w:w="1682" w:type="dxa"/>
            <w:vAlign w:val="center"/>
          </w:tcPr>
          <w:p w:rsidR="00B61D85" w:rsidRDefault="00B61D85" w:rsidP="001B6426">
            <w:r>
              <w:t>1-2 times per Month</w:t>
            </w:r>
          </w:p>
        </w:tc>
        <w:tc>
          <w:tcPr>
            <w:tcW w:w="1659" w:type="dxa"/>
            <w:vAlign w:val="center"/>
          </w:tcPr>
          <w:p w:rsidR="00B61D85" w:rsidRDefault="00B61D85" w:rsidP="001B6426">
            <w:r>
              <w:t>Once a Week</w:t>
            </w:r>
          </w:p>
        </w:tc>
        <w:tc>
          <w:tcPr>
            <w:tcW w:w="2106" w:type="dxa"/>
            <w:vAlign w:val="center"/>
          </w:tcPr>
          <w:p w:rsidR="00B61D85" w:rsidRDefault="00B61D85" w:rsidP="001B6426">
            <w:r>
              <w:t>2-3 Times a Week</w:t>
            </w:r>
          </w:p>
        </w:tc>
        <w:tc>
          <w:tcPr>
            <w:tcW w:w="843" w:type="dxa"/>
            <w:vAlign w:val="center"/>
          </w:tcPr>
          <w:p w:rsidR="00B61D85" w:rsidRDefault="00B61D85" w:rsidP="001B6426">
            <w:r>
              <w:t>Daily</w:t>
            </w:r>
          </w:p>
        </w:tc>
      </w:tr>
      <w:tr w:rsidR="00B61D85" w:rsidTr="001B6426">
        <w:trPr>
          <w:trHeight w:val="278"/>
        </w:trPr>
        <w:tc>
          <w:tcPr>
            <w:tcW w:w="1419" w:type="dxa"/>
            <w:vAlign w:val="center"/>
          </w:tcPr>
          <w:p w:rsidR="00B61D85" w:rsidRDefault="00B61D85" w:rsidP="001B6426">
            <w:r>
              <w:t>Less than Once a Year</w:t>
            </w:r>
          </w:p>
        </w:tc>
        <w:tc>
          <w:tcPr>
            <w:tcW w:w="1944" w:type="dxa"/>
            <w:vAlign w:val="center"/>
          </w:tcPr>
          <w:p w:rsidR="00B61D85" w:rsidRDefault="00B61D85" w:rsidP="001B6426">
            <w:r>
              <w:t>Annually</w:t>
            </w:r>
          </w:p>
        </w:tc>
        <w:tc>
          <w:tcPr>
            <w:tcW w:w="1682" w:type="dxa"/>
            <w:vAlign w:val="center"/>
          </w:tcPr>
          <w:p w:rsidR="00B61D85" w:rsidRDefault="00B61D85" w:rsidP="001B6426">
            <w:r>
              <w:t>Semi-Annually</w:t>
            </w:r>
          </w:p>
        </w:tc>
        <w:tc>
          <w:tcPr>
            <w:tcW w:w="1659" w:type="dxa"/>
            <w:vAlign w:val="center"/>
          </w:tcPr>
          <w:p w:rsidR="00B61D85" w:rsidRDefault="00B61D85" w:rsidP="001B6426">
            <w:r>
              <w:t>Monthly</w:t>
            </w:r>
          </w:p>
        </w:tc>
        <w:tc>
          <w:tcPr>
            <w:tcW w:w="2106" w:type="dxa"/>
            <w:vAlign w:val="center"/>
          </w:tcPr>
          <w:p w:rsidR="00B61D85" w:rsidRDefault="00B61D85" w:rsidP="001B6426">
            <w:r>
              <w:t>Weekly</w:t>
            </w:r>
          </w:p>
        </w:tc>
        <w:tc>
          <w:tcPr>
            <w:tcW w:w="843" w:type="dxa"/>
            <w:vAlign w:val="center"/>
          </w:tcPr>
          <w:p w:rsidR="00B61D85" w:rsidRDefault="00B61D85" w:rsidP="001B6426">
            <w:r>
              <w:t>Daily</w:t>
            </w:r>
          </w:p>
        </w:tc>
      </w:tr>
    </w:tbl>
    <w:p w:rsidR="00055CEB" w:rsidRPr="00A84997" w:rsidRDefault="00055CEB" w:rsidP="000C3012"/>
    <w:sectPr w:rsidR="00055CEB" w:rsidRPr="00A84997" w:rsidSect="00A06490">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39F" w:rsidRDefault="00A4139F" w:rsidP="00A4139F">
      <w:pPr>
        <w:spacing w:after="0" w:line="240" w:lineRule="auto"/>
      </w:pPr>
      <w:r>
        <w:separator/>
      </w:r>
    </w:p>
  </w:endnote>
  <w:endnote w:type="continuationSeparator" w:id="0">
    <w:p w:rsidR="00A4139F" w:rsidRDefault="00A4139F" w:rsidP="00A4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39F" w:rsidRDefault="00A4139F" w:rsidP="00A4139F">
      <w:pPr>
        <w:spacing w:after="0" w:line="240" w:lineRule="auto"/>
      </w:pPr>
      <w:r>
        <w:separator/>
      </w:r>
    </w:p>
  </w:footnote>
  <w:footnote w:type="continuationSeparator" w:id="0">
    <w:p w:rsidR="00A4139F" w:rsidRDefault="00A4139F" w:rsidP="00A4139F">
      <w:pPr>
        <w:spacing w:after="0" w:line="240" w:lineRule="auto"/>
      </w:pPr>
      <w:r>
        <w:continuationSeparator/>
      </w:r>
    </w:p>
  </w:footnote>
  <w:footnote w:id="1">
    <w:p w:rsidR="00EC41DC" w:rsidRDefault="00EC41DC" w:rsidP="00EC41DC">
      <w:pPr>
        <w:pStyle w:val="FootnoteText"/>
      </w:pPr>
      <w:r>
        <w:rPr>
          <w:rStyle w:val="FootnoteReference"/>
        </w:rPr>
        <w:footnoteRef/>
      </w:r>
      <w:r>
        <w:t xml:space="preserve"> </w:t>
      </w:r>
      <w:proofErr w:type="spellStart"/>
      <w:r>
        <w:t>Fraenkel</w:t>
      </w:r>
      <w:proofErr w:type="spellEnd"/>
      <w:r>
        <w:t>, J.R.,</w:t>
      </w:r>
      <w:r w:rsidR="001A4BD5">
        <w:t xml:space="preserve"> &amp; </w:t>
      </w:r>
      <w:proofErr w:type="spellStart"/>
      <w:r w:rsidR="001A4BD5">
        <w:t>Wallen</w:t>
      </w:r>
      <w:proofErr w:type="spellEnd"/>
      <w:r w:rsidR="001A4BD5">
        <w:t xml:space="preserve">, N.E.  (2006). </w:t>
      </w:r>
      <w:r>
        <w:rPr>
          <w:i/>
        </w:rPr>
        <w:t xml:space="preserve">How to Design and Evaluate Research in Education </w:t>
      </w:r>
      <w:r w:rsidRPr="005F0754">
        <w:t>(6</w:t>
      </w:r>
      <w:r w:rsidRPr="005F0754">
        <w:rPr>
          <w:vertAlign w:val="superscript"/>
        </w:rPr>
        <w:t>th</w:t>
      </w:r>
      <w:r w:rsidRPr="005F0754">
        <w:t xml:space="preserve"> </w:t>
      </w:r>
      <w:proofErr w:type="gramStart"/>
      <w:r w:rsidRPr="005F0754">
        <w:t>ed</w:t>
      </w:r>
      <w:proofErr w:type="gramEnd"/>
      <w:r w:rsidRPr="005F0754">
        <w:t>.)</w:t>
      </w:r>
      <w:r>
        <w:rPr>
          <w:i/>
        </w:rPr>
        <w:t xml:space="preserve">.  </w:t>
      </w:r>
      <w:r>
        <w:t xml:space="preserve">New York, NY: McGraw-Hill.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90" w:rsidRDefault="00A06490" w:rsidP="00A06490">
    <w:pPr>
      <w:pStyle w:val="Header"/>
      <w:jc w:val="right"/>
    </w:pPr>
    <w:r>
      <w:t>Case Western Reserve University</w:t>
    </w:r>
  </w:p>
  <w:p w:rsidR="00A06490" w:rsidRDefault="00A2794F" w:rsidP="00A06490">
    <w:pPr>
      <w:pStyle w:val="Header"/>
      <w:jc w:val="right"/>
    </w:pPr>
    <w:r>
      <w:t xml:space="preserve">Office of </w:t>
    </w:r>
    <w:r w:rsidR="00A06490">
      <w:t>Institutional Research</w:t>
    </w:r>
  </w:p>
  <w:p w:rsidR="00A06490" w:rsidRPr="00A06490" w:rsidRDefault="00A06490" w:rsidP="00A06490">
    <w:pPr>
      <w:pStyle w:val="Header"/>
      <w:jc w:val="right"/>
    </w:pPr>
    <w:r>
      <w:t xml:space="preserve">216.368.2338, </w:t>
    </w:r>
    <w:proofErr w:type="spellStart"/>
    <w:r w:rsidR="00A2794F">
      <w:rPr>
        <w:color w:val="0070C0"/>
        <w:u w:val="single"/>
      </w:rPr>
      <w:t>CWRUfacts</w:t>
    </w:r>
    <w:r w:rsidRPr="009653BF">
      <w:rPr>
        <w:color w:val="0070C0"/>
        <w:u w:val="single"/>
      </w:rPr>
      <w:t>@case,edu</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54240"/>
    <w:multiLevelType w:val="hybridMultilevel"/>
    <w:tmpl w:val="C64CD0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8322B"/>
    <w:multiLevelType w:val="hybridMultilevel"/>
    <w:tmpl w:val="A09608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900D5"/>
    <w:multiLevelType w:val="hybridMultilevel"/>
    <w:tmpl w:val="1F428D0E"/>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12B57F5"/>
    <w:multiLevelType w:val="hybridMultilevel"/>
    <w:tmpl w:val="0B40FA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800D43"/>
    <w:multiLevelType w:val="hybridMultilevel"/>
    <w:tmpl w:val="F2D0A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DB"/>
    <w:rsid w:val="0000021D"/>
    <w:rsid w:val="00055CEB"/>
    <w:rsid w:val="0007189C"/>
    <w:rsid w:val="00082B39"/>
    <w:rsid w:val="000838AA"/>
    <w:rsid w:val="00095FD2"/>
    <w:rsid w:val="000C3012"/>
    <w:rsid w:val="001049F5"/>
    <w:rsid w:val="001323FE"/>
    <w:rsid w:val="00141630"/>
    <w:rsid w:val="00151B01"/>
    <w:rsid w:val="0016522F"/>
    <w:rsid w:val="00190E47"/>
    <w:rsid w:val="001A4BD5"/>
    <w:rsid w:val="001B12C1"/>
    <w:rsid w:val="001B6426"/>
    <w:rsid w:val="00210547"/>
    <w:rsid w:val="00210A51"/>
    <w:rsid w:val="002C5997"/>
    <w:rsid w:val="002C76EB"/>
    <w:rsid w:val="00311B7E"/>
    <w:rsid w:val="00332BD1"/>
    <w:rsid w:val="003838C1"/>
    <w:rsid w:val="003F6428"/>
    <w:rsid w:val="00452DD9"/>
    <w:rsid w:val="00481F91"/>
    <w:rsid w:val="00485F98"/>
    <w:rsid w:val="004B5CDA"/>
    <w:rsid w:val="004D1971"/>
    <w:rsid w:val="004D5004"/>
    <w:rsid w:val="004D6B46"/>
    <w:rsid w:val="004E241B"/>
    <w:rsid w:val="00542258"/>
    <w:rsid w:val="00586394"/>
    <w:rsid w:val="005D00FA"/>
    <w:rsid w:val="005F0754"/>
    <w:rsid w:val="0064731D"/>
    <w:rsid w:val="006625A5"/>
    <w:rsid w:val="0069108A"/>
    <w:rsid w:val="006A051E"/>
    <w:rsid w:val="006A51AD"/>
    <w:rsid w:val="006E77E7"/>
    <w:rsid w:val="006F334D"/>
    <w:rsid w:val="006F70DB"/>
    <w:rsid w:val="00725E16"/>
    <w:rsid w:val="007536EC"/>
    <w:rsid w:val="00796C20"/>
    <w:rsid w:val="0079709E"/>
    <w:rsid w:val="007D1E13"/>
    <w:rsid w:val="007D6205"/>
    <w:rsid w:val="007E0898"/>
    <w:rsid w:val="007E65CF"/>
    <w:rsid w:val="00801DBE"/>
    <w:rsid w:val="00821D3C"/>
    <w:rsid w:val="00830753"/>
    <w:rsid w:val="0083393A"/>
    <w:rsid w:val="00885504"/>
    <w:rsid w:val="008A1E5B"/>
    <w:rsid w:val="008E7AE4"/>
    <w:rsid w:val="008E7E39"/>
    <w:rsid w:val="008F2433"/>
    <w:rsid w:val="008F4E30"/>
    <w:rsid w:val="00915C2B"/>
    <w:rsid w:val="00992A8F"/>
    <w:rsid w:val="009A29E5"/>
    <w:rsid w:val="009B4228"/>
    <w:rsid w:val="00A06490"/>
    <w:rsid w:val="00A070C6"/>
    <w:rsid w:val="00A2794F"/>
    <w:rsid w:val="00A4139F"/>
    <w:rsid w:val="00A65E16"/>
    <w:rsid w:val="00A848B2"/>
    <w:rsid w:val="00A84997"/>
    <w:rsid w:val="00AA5EFC"/>
    <w:rsid w:val="00AB66DE"/>
    <w:rsid w:val="00AC6347"/>
    <w:rsid w:val="00AD54DF"/>
    <w:rsid w:val="00B04115"/>
    <w:rsid w:val="00B13396"/>
    <w:rsid w:val="00B4757B"/>
    <w:rsid w:val="00B61D85"/>
    <w:rsid w:val="00B62CC7"/>
    <w:rsid w:val="00B65554"/>
    <w:rsid w:val="00B93EF7"/>
    <w:rsid w:val="00BD6E32"/>
    <w:rsid w:val="00C578B6"/>
    <w:rsid w:val="00C701BD"/>
    <w:rsid w:val="00CE6F83"/>
    <w:rsid w:val="00D20302"/>
    <w:rsid w:val="00D30B66"/>
    <w:rsid w:val="00D72AD3"/>
    <w:rsid w:val="00D742C7"/>
    <w:rsid w:val="00D749F4"/>
    <w:rsid w:val="00D91D03"/>
    <w:rsid w:val="00DC672C"/>
    <w:rsid w:val="00DD7E45"/>
    <w:rsid w:val="00DE4785"/>
    <w:rsid w:val="00E54E91"/>
    <w:rsid w:val="00EA0004"/>
    <w:rsid w:val="00EB60B2"/>
    <w:rsid w:val="00EC41DC"/>
    <w:rsid w:val="00EF72AA"/>
    <w:rsid w:val="00F267B2"/>
    <w:rsid w:val="00F404B4"/>
    <w:rsid w:val="00FB49CC"/>
    <w:rsid w:val="00FD048B"/>
    <w:rsid w:val="00FD356E"/>
    <w:rsid w:val="00FE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6B6533"/>
  <w15:docId w15:val="{44C9ECD1-9D1B-4761-8B00-494F2AA4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70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70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0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70D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F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0DB"/>
    <w:pPr>
      <w:ind w:left="720"/>
      <w:contextualSpacing/>
    </w:pPr>
  </w:style>
  <w:style w:type="paragraph" w:styleId="BalloonText">
    <w:name w:val="Balloon Text"/>
    <w:basedOn w:val="Normal"/>
    <w:link w:val="BalloonTextChar"/>
    <w:uiPriority w:val="99"/>
    <w:semiHidden/>
    <w:unhideWhenUsed/>
    <w:rsid w:val="008F4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E30"/>
    <w:rPr>
      <w:rFonts w:ascii="Segoe UI" w:hAnsi="Segoe UI" w:cs="Segoe UI"/>
      <w:sz w:val="18"/>
      <w:szCs w:val="18"/>
    </w:rPr>
  </w:style>
  <w:style w:type="paragraph" w:styleId="Header">
    <w:name w:val="header"/>
    <w:basedOn w:val="Normal"/>
    <w:link w:val="HeaderChar"/>
    <w:uiPriority w:val="99"/>
    <w:unhideWhenUsed/>
    <w:rsid w:val="00A41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39F"/>
  </w:style>
  <w:style w:type="paragraph" w:styleId="Footer">
    <w:name w:val="footer"/>
    <w:basedOn w:val="Normal"/>
    <w:link w:val="FooterChar"/>
    <w:uiPriority w:val="99"/>
    <w:unhideWhenUsed/>
    <w:rsid w:val="00A41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39F"/>
  </w:style>
  <w:style w:type="paragraph" w:customStyle="1" w:styleId="WhiteText">
    <w:name w:val="WhiteText"/>
    <w:next w:val="Normal"/>
    <w:rsid w:val="00A4139F"/>
    <w:pPr>
      <w:spacing w:after="0" w:line="240" w:lineRule="auto"/>
    </w:pPr>
    <w:rPr>
      <w:rFonts w:eastAsiaTheme="minorEastAsia"/>
      <w:color w:val="FFFFFF" w:themeColor="background1"/>
    </w:rPr>
  </w:style>
  <w:style w:type="paragraph" w:styleId="FootnoteText">
    <w:name w:val="footnote text"/>
    <w:basedOn w:val="Normal"/>
    <w:link w:val="FootnoteTextChar"/>
    <w:uiPriority w:val="99"/>
    <w:semiHidden/>
    <w:unhideWhenUsed/>
    <w:rsid w:val="005F07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754"/>
    <w:rPr>
      <w:sz w:val="20"/>
      <w:szCs w:val="20"/>
    </w:rPr>
  </w:style>
  <w:style w:type="character" w:styleId="FootnoteReference">
    <w:name w:val="footnote reference"/>
    <w:basedOn w:val="DefaultParagraphFont"/>
    <w:uiPriority w:val="99"/>
    <w:semiHidden/>
    <w:unhideWhenUsed/>
    <w:rsid w:val="005F0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DE49C-D31D-42BB-A829-10B06C01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Thomas</dc:creator>
  <cp:lastModifiedBy>Lynice Willis</cp:lastModifiedBy>
  <cp:revision>2</cp:revision>
  <cp:lastPrinted>2013-11-11T16:00:00Z</cp:lastPrinted>
  <dcterms:created xsi:type="dcterms:W3CDTF">2017-09-15T14:38:00Z</dcterms:created>
  <dcterms:modified xsi:type="dcterms:W3CDTF">2017-09-15T14:38:00Z</dcterms:modified>
</cp:coreProperties>
</file>