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8D4B4" w14:textId="4F5F146C" w:rsidR="00406653" w:rsidRPr="00DD3C1B" w:rsidRDefault="006A7F2A">
      <w:pPr>
        <w:pStyle w:val="NormalWeb"/>
        <w:rPr>
          <w:rFonts w:ascii="UICTFontTextStyleTallBody" w:hAnsi="UICTFontTextStyleTallBody"/>
          <w:i/>
          <w:iCs/>
          <w:color w:val="000000"/>
          <w:sz w:val="26"/>
          <w:szCs w:val="26"/>
        </w:rPr>
      </w:pPr>
      <w:r>
        <w:rPr>
          <w:rFonts w:ascii="UICTFontTextStyleTallBody" w:hAnsi="UICTFontTextStyleTallBody"/>
          <w:i/>
          <w:iCs/>
          <w:color w:val="000000"/>
          <w:sz w:val="26"/>
          <w:szCs w:val="26"/>
        </w:rPr>
        <w:t>Early Prepublication reviews</w:t>
      </w:r>
    </w:p>
    <w:p w14:paraId="5B8676FE" w14:textId="28CB75F4" w:rsidR="00CA46E2" w:rsidRDefault="00CA46E2">
      <w:pPr>
        <w:pStyle w:val="NormalWeb"/>
        <w:rPr>
          <w:rStyle w:val="Emphasis"/>
          <w:rFonts w:ascii="Aptos" w:hAnsi="Aptos"/>
          <w:b/>
          <w:bCs/>
          <w:color w:val="000000"/>
          <w:sz w:val="26"/>
          <w:szCs w:val="26"/>
        </w:rPr>
      </w:pPr>
      <w:r>
        <w:rPr>
          <w:rFonts w:ascii="UICTFontTextStyleTallBody" w:hAnsi="UICTFontTextStyleTallBody"/>
          <w:color w:val="000000"/>
          <w:sz w:val="26"/>
          <w:szCs w:val="26"/>
        </w:rPr>
        <w:t>An] insightful and disturbing analysis</w:t>
      </w:r>
      <w:proofErr w:type="gramStart"/>
      <w:r>
        <w:rPr>
          <w:rFonts w:ascii="UICTFontTextStyleTallBody" w:hAnsi="UICTFontTextStyleTallBody"/>
          <w:color w:val="000000"/>
          <w:sz w:val="26"/>
          <w:szCs w:val="26"/>
        </w:rPr>
        <w:t>. . . .</w:t>
      </w:r>
      <w:proofErr w:type="gramEnd"/>
      <w:r>
        <w:rPr>
          <w:rFonts w:ascii="UICTFontTextStyleTallBody" w:hAnsi="UICTFontTextStyleTallBody"/>
          <w:color w:val="000000"/>
          <w:sz w:val="26"/>
          <w:szCs w:val="26"/>
        </w:rPr>
        <w:t xml:space="preserve"> Through his accessible presentation of recent decades of political battles over interconnected issues, such as the right’s fight for the tax-exempt status of religious schools and its pushback against the IRS’s 1971 policy that tax-exempt schools must be racially nondiscriminatory, Graetz effectively makes the case that antitaxation has been ‘the most overlooked social and political movement in recent American history.’ This is a must-read for those concerned about the U.S. economy’s growing reliance on debt."—</w:t>
      </w:r>
      <w:r>
        <w:rPr>
          <w:rStyle w:val="Emphasis"/>
          <w:rFonts w:ascii="Aptos" w:hAnsi="Aptos"/>
          <w:b/>
          <w:bCs/>
          <w:color w:val="000000"/>
          <w:sz w:val="26"/>
          <w:szCs w:val="26"/>
        </w:rPr>
        <w:t>Publishers Weekly (Starred review)</w:t>
      </w:r>
    </w:p>
    <w:p w14:paraId="0552D411" w14:textId="211E5144" w:rsidR="003B1D47" w:rsidRDefault="003E68CE">
      <w:pPr>
        <w:pStyle w:val="NormalWeb"/>
        <w:rPr>
          <w:rFonts w:ascii="Arial" w:eastAsia="Times New Roman" w:hAnsi="Arial" w:cs="Arial"/>
          <w:b/>
          <w:bCs/>
          <w:color w:val="000000"/>
          <w:shd w:val="clear" w:color="auto" w:fill="FFFFFF"/>
        </w:rPr>
      </w:pPr>
      <w:r>
        <w:rPr>
          <w:rFonts w:ascii="Arial" w:eastAsia="Times New Roman" w:hAnsi="Arial" w:cs="Arial"/>
          <w:color w:val="000000"/>
          <w:shd w:val="clear" w:color="auto" w:fill="FFFFFF"/>
        </w:rPr>
        <w:t>"Illuminating</w:t>
      </w:r>
      <w:proofErr w:type="gramStart"/>
      <w:r>
        <w:rPr>
          <w:rFonts w:ascii="Arial" w:eastAsia="Times New Roman" w:hAnsi="Arial" w:cs="Arial"/>
          <w:color w:val="000000"/>
          <w:shd w:val="clear" w:color="auto" w:fill="FFFFFF"/>
        </w:rPr>
        <w:t>. . . .</w:t>
      </w:r>
      <w:proofErr w:type="gramEnd"/>
      <w:r>
        <w:rPr>
          <w:rFonts w:ascii="Arial" w:eastAsia="Times New Roman" w:hAnsi="Arial" w:cs="Arial"/>
          <w:color w:val="000000"/>
          <w:shd w:val="clear" w:color="auto" w:fill="FFFFFF"/>
        </w:rPr>
        <w:t xml:space="preserve"> An accessible, searching look at the injustices built into the American way of taxation.”—</w:t>
      </w:r>
      <w:r>
        <w:rPr>
          <w:rFonts w:ascii="Arial" w:eastAsia="Times New Roman" w:hAnsi="Arial" w:cs="Arial"/>
          <w:b/>
          <w:bCs/>
          <w:color w:val="000000"/>
          <w:shd w:val="clear" w:color="auto" w:fill="FFFFFF"/>
        </w:rPr>
        <w:t>Kir</w:t>
      </w:r>
      <w:r w:rsidR="003221D3">
        <w:rPr>
          <w:rFonts w:ascii="Arial" w:eastAsia="Times New Roman" w:hAnsi="Arial" w:cs="Arial"/>
          <w:b/>
          <w:bCs/>
          <w:color w:val="000000"/>
          <w:shd w:val="clear" w:color="auto" w:fill="FFFFFF"/>
        </w:rPr>
        <w:t>kus Reviews</w:t>
      </w:r>
    </w:p>
    <w:p w14:paraId="393D162F" w14:textId="77777777" w:rsidR="00601E1C" w:rsidRDefault="00601E1C">
      <w:pPr>
        <w:pStyle w:val="NormalWeb"/>
        <w:rPr>
          <w:rFonts w:ascii="Arial" w:eastAsia="Times New Roman" w:hAnsi="Arial" w:cs="Arial"/>
          <w:b/>
          <w:bCs/>
          <w:color w:val="000000"/>
          <w:shd w:val="clear" w:color="auto" w:fill="FFFFFF"/>
        </w:rPr>
      </w:pPr>
    </w:p>
    <w:p w14:paraId="1B779A5E" w14:textId="0BA7D5F3" w:rsidR="00174CC6" w:rsidRPr="005F097C" w:rsidRDefault="008B560D" w:rsidP="005F097C">
      <w:pPr>
        <w:pStyle w:val="Heading1"/>
        <w:pBdr>
          <w:top w:val="single" w:sz="2" w:space="0" w:color="auto"/>
          <w:left w:val="single" w:sz="2" w:space="0" w:color="auto"/>
          <w:bottom w:val="single" w:sz="2" w:space="0" w:color="auto"/>
          <w:right w:val="single" w:sz="2" w:space="0" w:color="auto"/>
        </w:pBdr>
        <w:divId w:val="719210076"/>
        <w:rPr>
          <w:rFonts w:ascii="Arial" w:eastAsia="Times New Roman" w:hAnsi="Arial" w:cs="Arial"/>
          <w:color w:val="auto"/>
          <w:spacing w:val="-2"/>
          <w:kern w:val="36"/>
          <w:sz w:val="48"/>
          <w:szCs w:val="48"/>
          <w14:ligatures w14:val="none"/>
        </w:rPr>
      </w:pPr>
      <w:r>
        <w:rPr>
          <w:rFonts w:ascii="Arial" w:eastAsia="Times New Roman" w:hAnsi="Arial" w:cs="Arial"/>
          <w:b/>
          <w:bCs/>
          <w:color w:val="000000"/>
          <w:shd w:val="clear" w:color="auto" w:fill="FFFFFF"/>
        </w:rPr>
        <w:t>“</w:t>
      </w:r>
      <w:r w:rsidR="005F097C">
        <w:rPr>
          <w:rFonts w:ascii="UICTFontTextStyleTallBody" w:eastAsia="Times New Roman" w:hAnsi="UICTFontTextStyleTallBody"/>
          <w:color w:val="000000"/>
          <w:sz w:val="26"/>
          <w:szCs w:val="26"/>
          <w:shd w:val="clear" w:color="auto" w:fill="FFFFFF"/>
        </w:rPr>
        <w:t xml:space="preserve">An </w:t>
      </w:r>
      <w:r>
        <w:rPr>
          <w:rFonts w:ascii="UICTFontTextStyleTallBody" w:eastAsia="Times New Roman" w:hAnsi="UICTFontTextStyleTallBody"/>
          <w:color w:val="000000"/>
          <w:sz w:val="26"/>
          <w:szCs w:val="26"/>
          <w:shd w:val="clear" w:color="auto" w:fill="FFFFFF"/>
        </w:rPr>
        <w:t>extraordinarily well-documented, informative, and compelling analysis of the movement Ronald Reagan celebrated as “a second American Revolution.”</w:t>
      </w:r>
      <w:r w:rsidR="00242AF7">
        <w:rPr>
          <w:rFonts w:ascii="UICTFontTextStyleTallBody" w:eastAsia="Times New Roman" w:hAnsi="UICTFontTextStyleTallBody"/>
          <w:color w:val="000000"/>
          <w:sz w:val="26"/>
          <w:szCs w:val="26"/>
          <w:shd w:val="clear" w:color="auto" w:fill="FFFFFF"/>
        </w:rPr>
        <w:t xml:space="preserve"> —</w:t>
      </w:r>
      <w:r w:rsidR="00377D22">
        <w:rPr>
          <w:rFonts w:ascii="Arial" w:eastAsia="Times New Roman" w:hAnsi="Arial" w:cs="Arial"/>
          <w:color w:val="1C1C1C"/>
          <w:spacing w:val="-5"/>
          <w:sz w:val="23"/>
          <w:szCs w:val="23"/>
          <w:shd w:val="clear" w:color="auto" w:fill="FFFFFF"/>
        </w:rPr>
        <w:t xml:space="preserve">Glenn C. </w:t>
      </w:r>
      <w:proofErr w:type="gramStart"/>
      <w:r w:rsidR="00377D22">
        <w:rPr>
          <w:rFonts w:ascii="Arial" w:eastAsia="Times New Roman" w:hAnsi="Arial" w:cs="Arial"/>
          <w:color w:val="1C1C1C"/>
          <w:spacing w:val="-5"/>
          <w:sz w:val="23"/>
          <w:szCs w:val="23"/>
          <w:shd w:val="clear" w:color="auto" w:fill="FFFFFF"/>
        </w:rPr>
        <w:t xml:space="preserve">Altschuler,  </w:t>
      </w:r>
      <w:r w:rsidR="00174CC6">
        <w:rPr>
          <w:rFonts w:ascii="Arial" w:eastAsia="Times New Roman" w:hAnsi="Arial" w:cs="Arial"/>
          <w:color w:val="1C1C1C"/>
          <w:spacing w:val="-5"/>
          <w:sz w:val="23"/>
          <w:szCs w:val="23"/>
          <w:shd w:val="clear" w:color="auto" w:fill="FFFFFF"/>
        </w:rPr>
        <w:t>“</w:t>
      </w:r>
      <w:proofErr w:type="gramEnd"/>
      <w:r w:rsidR="0062153E" w:rsidRPr="0062153E">
        <w:rPr>
          <w:rFonts w:ascii="Arial" w:eastAsia="Times New Roman" w:hAnsi="Arial" w:cs="Arial"/>
          <w:b/>
          <w:bCs/>
          <w:color w:val="auto"/>
          <w:spacing w:val="-2"/>
          <w:kern w:val="36"/>
          <w:sz w:val="24"/>
          <w:szCs w:val="24"/>
          <w14:ligatures w14:val="none"/>
        </w:rPr>
        <w:t>The Antitax Movement Gets Failing Grades</w:t>
      </w:r>
      <w:r w:rsidR="009E617F">
        <w:rPr>
          <w:rFonts w:ascii="Arial" w:eastAsia="Times New Roman" w:hAnsi="Arial" w:cs="Arial"/>
          <w:b/>
          <w:bCs/>
          <w:color w:val="auto"/>
          <w:spacing w:val="-2"/>
          <w:kern w:val="36"/>
          <w:sz w:val="24"/>
          <w:szCs w:val="24"/>
          <w14:ligatures w14:val="none"/>
        </w:rPr>
        <w:t xml:space="preserve">,” </w:t>
      </w:r>
      <w:r w:rsidR="009E617F">
        <w:rPr>
          <w:rFonts w:ascii="Arial" w:eastAsia="Times New Roman" w:hAnsi="Arial" w:cs="Arial"/>
          <w:b/>
          <w:bCs/>
          <w:i/>
          <w:iCs/>
          <w:color w:val="auto"/>
          <w:spacing w:val="-2"/>
          <w:kern w:val="36"/>
          <w:sz w:val="24"/>
          <w:szCs w:val="24"/>
          <w14:ligatures w14:val="none"/>
        </w:rPr>
        <w:t xml:space="preserve">The Messenger, </w:t>
      </w:r>
      <w:r w:rsidR="00267CD7">
        <w:rPr>
          <w:rFonts w:ascii="Arial" w:eastAsia="Times New Roman" w:hAnsi="Arial" w:cs="Arial"/>
          <w:color w:val="auto"/>
          <w:spacing w:val="-2"/>
          <w:kern w:val="36"/>
          <w:sz w:val="24"/>
          <w:szCs w:val="24"/>
          <w14:ligatures w14:val="none"/>
        </w:rPr>
        <w:t>January, 23, 2024</w:t>
      </w:r>
    </w:p>
    <w:p w14:paraId="57A171C2" w14:textId="5669C630" w:rsidR="00601E1C" w:rsidRPr="00B456AF" w:rsidRDefault="00601E1C">
      <w:pPr>
        <w:pStyle w:val="NormalWeb"/>
        <w:rPr>
          <w:rStyle w:val="Emphasis"/>
          <w:rFonts w:ascii="Aptos" w:hAnsi="Aptos"/>
          <w:b/>
          <w:bCs/>
          <w:color w:val="000000"/>
          <w:sz w:val="26"/>
          <w:szCs w:val="26"/>
        </w:rPr>
      </w:pPr>
    </w:p>
    <w:p w14:paraId="35B29707" w14:textId="77777777" w:rsidR="003B1D47" w:rsidRDefault="003B1D47">
      <w:pPr>
        <w:pStyle w:val="NormalWeb"/>
        <w:rPr>
          <w:rFonts w:ascii="UICTFontTextStyleTallBody" w:hAnsi="UICTFontTextStyleTallBody"/>
          <w:color w:val="000000"/>
          <w:sz w:val="26"/>
          <w:szCs w:val="26"/>
        </w:rPr>
      </w:pPr>
    </w:p>
    <w:p w14:paraId="508FD3F3" w14:textId="77777777" w:rsidR="00CA46E2" w:rsidRDefault="00CA46E2">
      <w:pPr>
        <w:pStyle w:val="NormalWeb"/>
        <w:rPr>
          <w:rFonts w:ascii="UICTFontTextStyleTallBody" w:hAnsi="UICTFontTextStyleTallBody"/>
          <w:color w:val="000000"/>
          <w:sz w:val="26"/>
          <w:szCs w:val="26"/>
        </w:rPr>
      </w:pPr>
      <w:r>
        <w:rPr>
          <w:rStyle w:val="Strong"/>
          <w:rFonts w:ascii="Aptos" w:hAnsi="Aptos"/>
          <w:color w:val="000000"/>
          <w:sz w:val="21"/>
          <w:szCs w:val="21"/>
        </w:rPr>
        <w:t>How the antitax fringe went mainstream—and now threatens America’s future</w:t>
      </w:r>
    </w:p>
    <w:p w14:paraId="603896C6" w14:textId="77777777" w:rsidR="00206D02" w:rsidRDefault="00CA46E2">
      <w:pPr>
        <w:pStyle w:val="NormalWeb"/>
        <w:rPr>
          <w:rFonts w:ascii="UICTFontTextStyleTallBody" w:hAnsi="UICTFontTextStyleTallBody"/>
          <w:color w:val="000000"/>
          <w:sz w:val="26"/>
          <w:szCs w:val="26"/>
        </w:rPr>
      </w:pPr>
      <w:r>
        <w:rPr>
          <w:rStyle w:val="Strong"/>
          <w:rFonts w:ascii="Aptos" w:hAnsi="Aptos"/>
          <w:color w:val="000000"/>
          <w:sz w:val="26"/>
          <w:szCs w:val="26"/>
        </w:rPr>
        <w:t>The Power to Destroy: How the Antitax Movement Hijacked America</w:t>
      </w:r>
      <w:r>
        <w:rPr>
          <w:rStyle w:val="apple-converted-space"/>
          <w:rFonts w:ascii="UICTFontTextStyleTallBody" w:hAnsi="UICTFontTextStyleTallBody"/>
          <w:color w:val="000000"/>
          <w:sz w:val="26"/>
          <w:szCs w:val="26"/>
        </w:rPr>
        <w:t> </w:t>
      </w:r>
      <w:r>
        <w:rPr>
          <w:rFonts w:ascii="UICTFontTextStyleTallBody" w:hAnsi="UICTFontTextStyleTallBody"/>
          <w:color w:val="000000"/>
          <w:sz w:val="26"/>
          <w:szCs w:val="26"/>
        </w:rPr>
        <w:t>by Michael J. Graetz</w:t>
      </w:r>
    </w:p>
    <w:p w14:paraId="64F9DE2A" w14:textId="09C83226" w:rsidR="00EB0173" w:rsidRDefault="00CA46E2">
      <w:pPr>
        <w:pStyle w:val="NormalWeb"/>
        <w:rPr>
          <w:rFonts w:ascii="UICTFontTextStyleTallBody" w:hAnsi="UICTFontTextStyleTallBody"/>
          <w:color w:val="000000"/>
          <w:sz w:val="26"/>
          <w:szCs w:val="26"/>
        </w:rPr>
      </w:pPr>
      <w:r>
        <w:rPr>
          <w:rFonts w:ascii="UICTFontTextStyleTallBody" w:hAnsi="UICTFontTextStyleTallBody"/>
          <w:color w:val="000000"/>
          <w:sz w:val="26"/>
          <w:szCs w:val="26"/>
        </w:rPr>
        <w:t xml:space="preserve"> </w:t>
      </w:r>
      <w:r w:rsidR="00206D02" w:rsidRPr="00206D02">
        <w:rPr>
          <w:rFonts w:ascii="UICTFontTextStyleTallBody" w:hAnsi="UICTFontTextStyleTallBody"/>
          <w:color w:val="000000"/>
          <w:sz w:val="26"/>
          <w:szCs w:val="26"/>
        </w:rPr>
        <w:t>https://www.amazon.com/Power-Destroy-Antitax-Movement-Hijacked/dp/0691225540/ref=sr_1_1?crid=2BO297QAHHJLF&amp;keywords=graetz+power+to+destroy&amp;qid=1704376714&amp;sprefix=%2Caps%2C71&amp;sr=8-1</w:t>
      </w:r>
    </w:p>
    <w:p w14:paraId="0010FBA9" w14:textId="2E433FF8" w:rsidR="00406653" w:rsidRDefault="00CA46E2">
      <w:pPr>
        <w:pStyle w:val="NormalWeb"/>
        <w:rPr>
          <w:rFonts w:ascii="UICTFontTextStyleTallBody" w:hAnsi="UICTFontTextStyleTallBody"/>
          <w:color w:val="000000"/>
          <w:sz w:val="26"/>
          <w:szCs w:val="26"/>
        </w:rPr>
      </w:pPr>
      <w:r>
        <w:rPr>
          <w:rFonts w:ascii="UICTFontTextStyleTallBody" w:hAnsi="UICTFontTextStyleTallBody"/>
          <w:color w:val="000000"/>
          <w:sz w:val="26"/>
          <w:szCs w:val="26"/>
        </w:rPr>
        <w:t>publishes </w:t>
      </w:r>
      <w:r>
        <w:rPr>
          <w:rFonts w:ascii="UICTFontTextStyleTallBody" w:hAnsi="UICTFontTextStyleTallBody"/>
          <w:color w:val="000000"/>
          <w:sz w:val="26"/>
          <w:szCs w:val="26"/>
          <w:u w:val="single"/>
        </w:rPr>
        <w:t>Feb 13, 2024</w:t>
      </w:r>
      <w:r>
        <w:rPr>
          <w:rFonts w:ascii="UICTFontTextStyleTallBody" w:hAnsi="UICTFontTextStyleTallBody"/>
          <w:color w:val="000000"/>
          <w:sz w:val="26"/>
          <w:szCs w:val="26"/>
        </w:rPr>
        <w:t>.</w:t>
      </w:r>
    </w:p>
    <w:p w14:paraId="440841DD" w14:textId="77777777" w:rsidR="005D61D3" w:rsidRDefault="005D61D3">
      <w:pPr>
        <w:pStyle w:val="NormalWeb"/>
        <w:rPr>
          <w:rFonts w:ascii="UICTFontTextStyleTallBody" w:hAnsi="UICTFontTextStyleTallBody"/>
          <w:color w:val="000000"/>
          <w:sz w:val="26"/>
          <w:szCs w:val="26"/>
        </w:rPr>
      </w:pPr>
    </w:p>
    <w:p w14:paraId="4E99C378" w14:textId="0B461FFF" w:rsidR="005D61D3" w:rsidRPr="00DD3C1B" w:rsidRDefault="005D61D3">
      <w:pPr>
        <w:pStyle w:val="NormalWeb"/>
        <w:rPr>
          <w:rFonts w:ascii="UICTFontTextStyleTallBody" w:hAnsi="UICTFontTextStyleTallBody"/>
          <w:i/>
          <w:iCs/>
          <w:color w:val="000000"/>
          <w:sz w:val="26"/>
          <w:szCs w:val="26"/>
        </w:rPr>
      </w:pPr>
      <w:r w:rsidRPr="00DD3C1B">
        <w:rPr>
          <w:rFonts w:ascii="UICTFontTextStyleTallBody" w:hAnsi="UICTFontTextStyleTallBody"/>
          <w:i/>
          <w:iCs/>
          <w:color w:val="000000"/>
          <w:sz w:val="26"/>
          <w:szCs w:val="26"/>
        </w:rPr>
        <w:t xml:space="preserve">Summary from </w:t>
      </w:r>
      <w:r w:rsidR="00850B39" w:rsidRPr="00DD3C1B">
        <w:rPr>
          <w:rFonts w:ascii="UICTFontTextStyleTallBody" w:hAnsi="UICTFontTextStyleTallBody"/>
          <w:i/>
          <w:iCs/>
          <w:color w:val="000000"/>
          <w:sz w:val="26"/>
          <w:szCs w:val="26"/>
        </w:rPr>
        <w:t>book cover</w:t>
      </w:r>
      <w:r w:rsidRPr="00DD3C1B">
        <w:rPr>
          <w:rFonts w:ascii="UICTFontTextStyleTallBody" w:hAnsi="UICTFontTextStyleTallBody"/>
          <w:i/>
          <w:iCs/>
          <w:color w:val="000000"/>
          <w:sz w:val="26"/>
          <w:szCs w:val="26"/>
        </w:rPr>
        <w:t>:</w:t>
      </w:r>
    </w:p>
    <w:p w14:paraId="2D3512D4" w14:textId="77777777" w:rsidR="002A6144" w:rsidRPr="002A6144" w:rsidRDefault="002A6144" w:rsidP="002A6144">
      <w:pPr>
        <w:spacing w:before="100" w:beforeAutospacing="1" w:after="100" w:afterAutospacing="1"/>
        <w:divId w:val="1635863833"/>
        <w:rPr>
          <w:rFonts w:ascii="UICTFontTextStyleTallBody" w:hAnsi="UICTFontTextStyleTallBody" w:cs="Times New Roman"/>
          <w:color w:val="000000"/>
          <w:kern w:val="0"/>
          <w:sz w:val="26"/>
          <w:szCs w:val="26"/>
          <w14:ligatures w14:val="none"/>
        </w:rPr>
      </w:pPr>
      <w:r w:rsidRPr="002A6144">
        <w:rPr>
          <w:rFonts w:ascii="UICTFontTextStyleTallBody" w:hAnsi="UICTFontTextStyleTallBody" w:cs="Times New Roman"/>
          <w:color w:val="000000"/>
          <w:kern w:val="0"/>
          <w:sz w:val="26"/>
          <w:szCs w:val="26"/>
          <w14:ligatures w14:val="none"/>
        </w:rPr>
        <w:t xml:space="preserve">The postwar United States enjoyed large, widely distributed economic rewards—and most Americans accepted that taxes were a reasonable price to pay for living in a society of shared prosperity. Then in 1978 California enacted Proposition 13, a </w:t>
      </w:r>
      <w:r w:rsidRPr="002A6144">
        <w:rPr>
          <w:rFonts w:ascii="UICTFontTextStyleTallBody" w:hAnsi="UICTFontTextStyleTallBody" w:cs="Times New Roman"/>
          <w:color w:val="000000"/>
          <w:kern w:val="0"/>
          <w:sz w:val="26"/>
          <w:szCs w:val="26"/>
          <w14:ligatures w14:val="none"/>
        </w:rPr>
        <w:lastRenderedPageBreak/>
        <w:t>property tax cap that Ronald Reagan hailed as a “second American Revolution,” setting off an antitax, antigovernment wave that has transformed American politics and economic policy. In </w:t>
      </w:r>
      <w:r w:rsidRPr="002A6144">
        <w:rPr>
          <w:rFonts w:ascii="Aptos" w:hAnsi="Aptos" w:cs="Times New Roman"/>
          <w:i/>
          <w:iCs/>
          <w:color w:val="000000"/>
          <w:kern w:val="0"/>
          <w:sz w:val="26"/>
          <w:szCs w:val="26"/>
          <w14:ligatures w14:val="none"/>
        </w:rPr>
        <w:t>The Power to Destroy</w:t>
      </w:r>
      <w:r w:rsidRPr="002A6144">
        <w:rPr>
          <w:rFonts w:ascii="UICTFontTextStyleTallBody" w:hAnsi="UICTFontTextStyleTallBody" w:cs="Times New Roman"/>
          <w:color w:val="000000"/>
          <w:kern w:val="0"/>
          <w:sz w:val="26"/>
          <w:szCs w:val="26"/>
          <w14:ligatures w14:val="none"/>
        </w:rPr>
        <w:t>, Michael Graetz tells the story of the antitax movement and how it holds America hostage—undermining the nation’s ability to meet basic needs and fix critical problems.</w:t>
      </w:r>
      <w:r w:rsidRPr="002A6144">
        <w:rPr>
          <w:rFonts w:ascii="UICTFontTextStyleTallBody" w:hAnsi="UICTFontTextStyleTallBody" w:cs="Times New Roman"/>
          <w:color w:val="000000"/>
          <w:kern w:val="0"/>
          <w:sz w:val="26"/>
          <w:szCs w:val="26"/>
          <w14:ligatures w14:val="none"/>
        </w:rPr>
        <w:br/>
      </w:r>
      <w:r w:rsidRPr="002A6144">
        <w:rPr>
          <w:rFonts w:ascii="UICTFontTextStyleTallBody" w:hAnsi="UICTFontTextStyleTallBody" w:cs="Times New Roman"/>
          <w:color w:val="000000"/>
          <w:kern w:val="0"/>
          <w:sz w:val="26"/>
          <w:szCs w:val="26"/>
          <w14:ligatures w14:val="none"/>
        </w:rPr>
        <w:br/>
        <w:t>In 1819, Chief Justice John Marshall declared that the power to tax entails “the power to destroy.” But </w:t>
      </w:r>
      <w:r w:rsidRPr="002A6144">
        <w:rPr>
          <w:rFonts w:ascii="Aptos" w:hAnsi="Aptos" w:cs="Times New Roman"/>
          <w:i/>
          <w:iCs/>
          <w:color w:val="000000"/>
          <w:kern w:val="0"/>
          <w:sz w:val="26"/>
          <w:szCs w:val="26"/>
          <w14:ligatures w14:val="none"/>
        </w:rPr>
        <w:t>The Power to Destroy</w:t>
      </w:r>
      <w:r w:rsidRPr="002A6144">
        <w:rPr>
          <w:rFonts w:ascii="UICTFontTextStyleTallBody" w:hAnsi="UICTFontTextStyleTallBody" w:cs="Times New Roman"/>
          <w:color w:val="000000"/>
          <w:kern w:val="0"/>
          <w:sz w:val="26"/>
          <w:szCs w:val="26"/>
          <w14:ligatures w14:val="none"/>
        </w:rPr>
        <w:t> argues that it is tax opponents who now wield this destructive power. Attacking the IRS, protecting tax loopholes, and pushing tax cuts from Reagan to Donald Trump, the antitax movement is threatening the nation’s social safety net, increasing inequality, ballooning the national debt, and sapping America’s financial strength. The book chronicles how the movement originated as a fringe enterprise promoted by zealous outsiders using false economic claims and thinly veiled racist rhetoric—and how, abetted by conservative media and Grover Norquist’s “taxpayer protection pledge,” it evolved into a mainstream political force.</w:t>
      </w:r>
      <w:r w:rsidRPr="002A6144">
        <w:rPr>
          <w:rFonts w:ascii="UICTFontTextStyleTallBody" w:hAnsi="UICTFontTextStyleTallBody" w:cs="Times New Roman"/>
          <w:color w:val="000000"/>
          <w:kern w:val="0"/>
          <w:sz w:val="26"/>
          <w:szCs w:val="26"/>
          <w14:ligatures w14:val="none"/>
        </w:rPr>
        <w:br/>
      </w:r>
      <w:r w:rsidRPr="002A6144">
        <w:rPr>
          <w:rFonts w:ascii="UICTFontTextStyleTallBody" w:hAnsi="UICTFontTextStyleTallBody" w:cs="Times New Roman"/>
          <w:color w:val="000000"/>
          <w:kern w:val="0"/>
          <w:sz w:val="26"/>
          <w:szCs w:val="26"/>
          <w14:ligatures w14:val="none"/>
        </w:rPr>
        <w:br/>
        <w:t>The important story of how the antitax movement came to dominate and distort politics, and how it impedes rational budgeting, equality, and opportunities, </w:t>
      </w:r>
      <w:r w:rsidRPr="002A6144">
        <w:rPr>
          <w:rFonts w:ascii="Aptos" w:hAnsi="Aptos" w:cs="Times New Roman"/>
          <w:i/>
          <w:iCs/>
          <w:color w:val="000000"/>
          <w:kern w:val="0"/>
          <w:sz w:val="26"/>
          <w:szCs w:val="26"/>
          <w14:ligatures w14:val="none"/>
        </w:rPr>
        <w:t>The Power to Destroy </w:t>
      </w:r>
      <w:r w:rsidRPr="002A6144">
        <w:rPr>
          <w:rFonts w:ascii="UICTFontTextStyleTallBody" w:hAnsi="UICTFontTextStyleTallBody" w:cs="Times New Roman"/>
          <w:color w:val="000000"/>
          <w:kern w:val="0"/>
          <w:sz w:val="26"/>
          <w:szCs w:val="26"/>
          <w14:ligatures w14:val="none"/>
        </w:rPr>
        <w:t>is essential reading for understanding American life today.</w:t>
      </w:r>
    </w:p>
    <w:p w14:paraId="68201F69" w14:textId="77777777" w:rsidR="002A6144" w:rsidRDefault="002A6144" w:rsidP="002A6144">
      <w:pPr>
        <w:spacing w:before="100" w:beforeAutospacing="1" w:after="100" w:afterAutospacing="1"/>
        <w:divId w:val="1635863833"/>
        <w:rPr>
          <w:rFonts w:ascii="UICTFontTextStyleTallBody" w:hAnsi="UICTFontTextStyleTallBody" w:cs="Times New Roman"/>
          <w:color w:val="000000"/>
          <w:kern w:val="0"/>
          <w:sz w:val="26"/>
          <w:szCs w:val="26"/>
          <w14:ligatures w14:val="none"/>
        </w:rPr>
      </w:pPr>
      <w:r w:rsidRPr="002A6144">
        <w:rPr>
          <w:rFonts w:ascii="Aptos" w:hAnsi="Aptos" w:cs="Times New Roman"/>
          <w:b/>
          <w:bCs/>
          <w:color w:val="000000"/>
          <w:kern w:val="0"/>
          <w:sz w:val="26"/>
          <w:szCs w:val="26"/>
          <w14:ligatures w14:val="none"/>
        </w:rPr>
        <w:t>Michael J. Graetz</w:t>
      </w:r>
      <w:r w:rsidRPr="002A6144">
        <w:rPr>
          <w:rFonts w:ascii="UICTFontTextStyleTallBody" w:hAnsi="UICTFontTextStyleTallBody" w:cs="Times New Roman"/>
          <w:color w:val="000000"/>
          <w:kern w:val="0"/>
          <w:sz w:val="26"/>
          <w:szCs w:val="26"/>
          <w14:ligatures w14:val="none"/>
        </w:rPr>
        <w:t> is professor emeritus at Columbia Law School and Yale Law School and a leading authority on tax politics and policy. He served in the U.S. Treasury’s Office of Tax Policy and is the author and coauthor of many books, including </w:t>
      </w:r>
      <w:r w:rsidRPr="002A6144">
        <w:rPr>
          <w:rFonts w:ascii="Aptos" w:hAnsi="Aptos" w:cs="Times New Roman"/>
          <w:i/>
          <w:iCs/>
          <w:color w:val="000000"/>
          <w:kern w:val="0"/>
          <w:sz w:val="26"/>
          <w:szCs w:val="26"/>
          <w14:ligatures w14:val="none"/>
        </w:rPr>
        <w:t>Death by a Thousand Cuts: The Fight over Taxing Inherited Wealth</w:t>
      </w:r>
      <w:r w:rsidRPr="002A6144">
        <w:rPr>
          <w:rFonts w:ascii="UICTFontTextStyleTallBody" w:hAnsi="UICTFontTextStyleTallBody" w:cs="Times New Roman"/>
          <w:color w:val="000000"/>
          <w:kern w:val="0"/>
          <w:sz w:val="26"/>
          <w:szCs w:val="26"/>
          <w14:ligatures w14:val="none"/>
        </w:rPr>
        <w:t> (Princeton) and </w:t>
      </w:r>
      <w:r w:rsidRPr="002A6144">
        <w:rPr>
          <w:rFonts w:ascii="Aptos" w:hAnsi="Aptos" w:cs="Times New Roman"/>
          <w:i/>
          <w:iCs/>
          <w:color w:val="000000"/>
          <w:kern w:val="0"/>
          <w:sz w:val="26"/>
          <w:szCs w:val="26"/>
          <w14:ligatures w14:val="none"/>
        </w:rPr>
        <w:t>The Burger Court and the Rise of the Judicial Right</w:t>
      </w:r>
      <w:r w:rsidRPr="002A6144">
        <w:rPr>
          <w:rFonts w:ascii="UICTFontTextStyleTallBody" w:hAnsi="UICTFontTextStyleTallBody" w:cs="Times New Roman"/>
          <w:color w:val="000000"/>
          <w:kern w:val="0"/>
          <w:sz w:val="26"/>
          <w:szCs w:val="26"/>
          <w14:ligatures w14:val="none"/>
        </w:rPr>
        <w:t>.</w:t>
      </w:r>
    </w:p>
    <w:p w14:paraId="1D700C4A" w14:textId="1EFC82E8" w:rsidR="005D61D3" w:rsidRPr="002A6144" w:rsidRDefault="005D61D3" w:rsidP="002A6144">
      <w:pPr>
        <w:spacing w:before="100" w:beforeAutospacing="1" w:after="100" w:afterAutospacing="1"/>
        <w:divId w:val="1635863833"/>
        <w:rPr>
          <w:rFonts w:ascii="UICTFontTextStyleTallBody" w:hAnsi="UICTFontTextStyleTallBody" w:cs="Times New Roman"/>
          <w:i/>
          <w:iCs/>
          <w:color w:val="000000"/>
          <w:kern w:val="0"/>
          <w:sz w:val="26"/>
          <w:szCs w:val="26"/>
          <w14:ligatures w14:val="none"/>
        </w:rPr>
      </w:pPr>
      <w:r w:rsidRPr="00E2464B">
        <w:rPr>
          <w:rFonts w:ascii="UICTFontTextStyleTallBody" w:hAnsi="UICTFontTextStyleTallBody" w:cs="Times New Roman"/>
          <w:i/>
          <w:iCs/>
          <w:color w:val="000000"/>
          <w:kern w:val="0"/>
          <w:sz w:val="26"/>
          <w:szCs w:val="26"/>
          <w14:ligatures w14:val="none"/>
        </w:rPr>
        <w:t>Blurbs:</w:t>
      </w:r>
    </w:p>
    <w:p w14:paraId="3361FB87" w14:textId="77777777" w:rsidR="002A6144" w:rsidRPr="002A6144" w:rsidRDefault="002A6144" w:rsidP="002A6144">
      <w:pPr>
        <w:spacing w:before="100" w:beforeAutospacing="1" w:after="100" w:afterAutospacing="1"/>
        <w:divId w:val="1635863833"/>
        <w:rPr>
          <w:rFonts w:ascii="UICTFontTextStyleTallBody" w:hAnsi="UICTFontTextStyleTallBody" w:cs="Times New Roman"/>
          <w:color w:val="000000"/>
          <w:kern w:val="0"/>
          <w:sz w:val="26"/>
          <w:szCs w:val="26"/>
          <w14:ligatures w14:val="none"/>
        </w:rPr>
      </w:pPr>
      <w:r w:rsidRPr="002A6144">
        <w:rPr>
          <w:rFonts w:ascii="UICTFontTextStyleTallBody" w:hAnsi="UICTFontTextStyleTallBody" w:cs="Times New Roman"/>
          <w:color w:val="000000"/>
          <w:kern w:val="0"/>
          <w:sz w:val="26"/>
          <w:szCs w:val="26"/>
          <w14:ligatures w14:val="none"/>
        </w:rPr>
        <w:t xml:space="preserve">“You can’t understand what happens in Washington without understanding the politics of taxation, which have been central to American public life since the Sons of Liberty dumped tea in Boston </w:t>
      </w:r>
      <w:proofErr w:type="gramStart"/>
      <w:r w:rsidRPr="002A6144">
        <w:rPr>
          <w:rFonts w:ascii="UICTFontTextStyleTallBody" w:hAnsi="UICTFontTextStyleTallBody" w:cs="Times New Roman"/>
          <w:color w:val="000000"/>
          <w:kern w:val="0"/>
          <w:sz w:val="26"/>
          <w:szCs w:val="26"/>
          <w14:ligatures w14:val="none"/>
        </w:rPr>
        <w:t>Harbor, and</w:t>
      </w:r>
      <w:proofErr w:type="gramEnd"/>
      <w:r w:rsidRPr="002A6144">
        <w:rPr>
          <w:rFonts w:ascii="UICTFontTextStyleTallBody" w:hAnsi="UICTFontTextStyleTallBody" w:cs="Times New Roman"/>
          <w:color w:val="000000"/>
          <w:kern w:val="0"/>
          <w:sz w:val="26"/>
          <w:szCs w:val="26"/>
          <w14:ligatures w14:val="none"/>
        </w:rPr>
        <w:t xml:space="preserve"> have become even more central in the last half century, with the antitax takeover of the Republican Party. Michael Graetz intimately understands both the policy and the politics, enabling him to spin an irresistible yarn.”—Alan Murray, CEO of Fortune </w:t>
      </w:r>
      <w:proofErr w:type="gramStart"/>
      <w:r w:rsidRPr="002A6144">
        <w:rPr>
          <w:rFonts w:ascii="UICTFontTextStyleTallBody" w:hAnsi="UICTFontTextStyleTallBody" w:cs="Times New Roman"/>
          <w:color w:val="000000"/>
          <w:kern w:val="0"/>
          <w:sz w:val="26"/>
          <w:szCs w:val="26"/>
          <w14:ligatures w14:val="none"/>
        </w:rPr>
        <w:t>Media</w:t>
      </w:r>
      <w:proofErr w:type="gramEnd"/>
      <w:r w:rsidRPr="002A6144">
        <w:rPr>
          <w:rFonts w:ascii="UICTFontTextStyleTallBody" w:hAnsi="UICTFontTextStyleTallBody" w:cs="Times New Roman"/>
          <w:color w:val="000000"/>
          <w:kern w:val="0"/>
          <w:sz w:val="26"/>
          <w:szCs w:val="26"/>
          <w14:ligatures w14:val="none"/>
        </w:rPr>
        <w:t xml:space="preserve"> and author of</w:t>
      </w:r>
      <w:r w:rsidRPr="002A6144">
        <w:rPr>
          <w:rFonts w:ascii="Aptos" w:hAnsi="Aptos" w:cs="Times New Roman"/>
          <w:i/>
          <w:iCs/>
          <w:color w:val="000000"/>
          <w:kern w:val="0"/>
          <w:sz w:val="26"/>
          <w:szCs w:val="26"/>
          <w14:ligatures w14:val="none"/>
        </w:rPr>
        <w:t> Tomorrow’s Capitalist: My Search for the Soul of Business</w:t>
      </w:r>
    </w:p>
    <w:p w14:paraId="50FB3199" w14:textId="77777777" w:rsidR="002A6144" w:rsidRPr="002A6144" w:rsidRDefault="002A6144" w:rsidP="002A6144">
      <w:pPr>
        <w:spacing w:before="100" w:beforeAutospacing="1" w:after="100" w:afterAutospacing="1"/>
        <w:divId w:val="1635863833"/>
        <w:rPr>
          <w:rFonts w:ascii="UICTFontTextStyleTallBody" w:hAnsi="UICTFontTextStyleTallBody" w:cs="Times New Roman"/>
          <w:color w:val="000000"/>
          <w:kern w:val="0"/>
          <w:sz w:val="26"/>
          <w:szCs w:val="26"/>
          <w14:ligatures w14:val="none"/>
        </w:rPr>
      </w:pPr>
      <w:r w:rsidRPr="002A6144">
        <w:rPr>
          <w:rFonts w:ascii="UICTFontTextStyleTallBody" w:hAnsi="UICTFontTextStyleTallBody" w:cs="Times New Roman"/>
          <w:color w:val="000000"/>
          <w:kern w:val="0"/>
          <w:sz w:val="26"/>
          <w:szCs w:val="26"/>
          <w14:ligatures w14:val="none"/>
        </w:rPr>
        <w:t xml:space="preserve">“Our national resistance toward taxation in recent decades was not inevitable. In this provocative and comprehensive history, Michael Graetz provides an insightful narrative of a full-scale conservative movement that formed in the 1970s to undermine and dismantle the federal tax system. The objectives were regressive and the methods effective. Fighting taxes became the new anticommunism in </w:t>
      </w:r>
      <w:r w:rsidRPr="002A6144">
        <w:rPr>
          <w:rFonts w:ascii="UICTFontTextStyleTallBody" w:hAnsi="UICTFontTextStyleTallBody" w:cs="Times New Roman"/>
          <w:color w:val="000000"/>
          <w:kern w:val="0"/>
          <w:sz w:val="26"/>
          <w:szCs w:val="26"/>
          <w14:ligatures w14:val="none"/>
        </w:rPr>
        <w:lastRenderedPageBreak/>
        <w:t>conservative politics. A must-read for anyone interested in American politics beyond the headlines.”—Julian E. Zelizer, author of </w:t>
      </w:r>
      <w:r w:rsidRPr="002A6144">
        <w:rPr>
          <w:rFonts w:ascii="Aptos" w:hAnsi="Aptos" w:cs="Times New Roman"/>
          <w:i/>
          <w:iCs/>
          <w:color w:val="000000"/>
          <w:kern w:val="0"/>
          <w:sz w:val="26"/>
          <w:szCs w:val="26"/>
          <w14:ligatures w14:val="none"/>
        </w:rPr>
        <w:t>Burning Down the House:</w:t>
      </w:r>
      <w:r w:rsidRPr="002A6144">
        <w:rPr>
          <w:rFonts w:ascii="UICTFontTextStyleTallBody" w:hAnsi="UICTFontTextStyleTallBody" w:cs="Times New Roman"/>
          <w:color w:val="000000"/>
          <w:kern w:val="0"/>
          <w:sz w:val="26"/>
          <w:szCs w:val="26"/>
          <w14:ligatures w14:val="none"/>
        </w:rPr>
        <w:t> </w:t>
      </w:r>
      <w:r w:rsidRPr="002A6144">
        <w:rPr>
          <w:rFonts w:ascii="Aptos" w:hAnsi="Aptos" w:cs="Times New Roman"/>
          <w:i/>
          <w:iCs/>
          <w:color w:val="000000"/>
          <w:kern w:val="0"/>
          <w:sz w:val="26"/>
          <w:szCs w:val="26"/>
          <w14:ligatures w14:val="none"/>
        </w:rPr>
        <w:t>Newt Gingrich and the Rise of the New Republican Party</w:t>
      </w:r>
    </w:p>
    <w:p w14:paraId="4FAAA654" w14:textId="77777777" w:rsidR="002A6144" w:rsidRPr="002A6144" w:rsidRDefault="002A6144" w:rsidP="002A6144">
      <w:pPr>
        <w:spacing w:before="100" w:beforeAutospacing="1" w:after="100" w:afterAutospacing="1"/>
        <w:divId w:val="1635863833"/>
        <w:rPr>
          <w:rFonts w:ascii="UICTFontTextStyleTallBody" w:hAnsi="UICTFontTextStyleTallBody" w:cs="Times New Roman"/>
          <w:color w:val="000000"/>
          <w:kern w:val="0"/>
          <w:sz w:val="26"/>
          <w:szCs w:val="26"/>
          <w14:ligatures w14:val="none"/>
        </w:rPr>
      </w:pPr>
      <w:r w:rsidRPr="002A6144">
        <w:rPr>
          <w:rFonts w:ascii="UICTFontTextStyleTallBody" w:hAnsi="UICTFontTextStyleTallBody" w:cs="Times New Roman"/>
          <w:color w:val="000000"/>
          <w:kern w:val="0"/>
          <w:sz w:val="26"/>
          <w:szCs w:val="26"/>
          <w14:ligatures w14:val="none"/>
        </w:rPr>
        <w:t>“</w:t>
      </w:r>
      <w:r w:rsidRPr="002A6144">
        <w:rPr>
          <w:rFonts w:ascii="Aptos" w:hAnsi="Aptos" w:cs="Times New Roman"/>
          <w:i/>
          <w:iCs/>
          <w:color w:val="000000"/>
          <w:kern w:val="0"/>
          <w:sz w:val="26"/>
          <w:szCs w:val="26"/>
          <w14:ligatures w14:val="none"/>
        </w:rPr>
        <w:t>The Power to Destroy </w:t>
      </w:r>
      <w:r w:rsidRPr="002A6144">
        <w:rPr>
          <w:rFonts w:ascii="UICTFontTextStyleTallBody" w:hAnsi="UICTFontTextStyleTallBody" w:cs="Times New Roman"/>
          <w:color w:val="000000"/>
          <w:kern w:val="0"/>
          <w:sz w:val="26"/>
          <w:szCs w:val="26"/>
          <w14:ligatures w14:val="none"/>
        </w:rPr>
        <w:t>brilliantly</w:t>
      </w:r>
      <w:r w:rsidRPr="002A6144">
        <w:rPr>
          <w:rFonts w:ascii="Aptos" w:hAnsi="Aptos" w:cs="Times New Roman"/>
          <w:i/>
          <w:iCs/>
          <w:color w:val="000000"/>
          <w:kern w:val="0"/>
          <w:sz w:val="26"/>
          <w:szCs w:val="26"/>
          <w14:ligatures w14:val="none"/>
        </w:rPr>
        <w:t> </w:t>
      </w:r>
      <w:r w:rsidRPr="002A6144">
        <w:rPr>
          <w:rFonts w:ascii="UICTFontTextStyleTallBody" w:hAnsi="UICTFontTextStyleTallBody" w:cs="Times New Roman"/>
          <w:color w:val="000000"/>
          <w:kern w:val="0"/>
          <w:sz w:val="26"/>
          <w:szCs w:val="26"/>
          <w14:ligatures w14:val="none"/>
        </w:rPr>
        <w:t>shows how</w:t>
      </w:r>
      <w:r w:rsidRPr="002A6144">
        <w:rPr>
          <w:rFonts w:ascii="Aptos" w:hAnsi="Aptos" w:cs="Times New Roman"/>
          <w:i/>
          <w:iCs/>
          <w:color w:val="000000"/>
          <w:kern w:val="0"/>
          <w:sz w:val="26"/>
          <w:szCs w:val="26"/>
          <w14:ligatures w14:val="none"/>
        </w:rPr>
        <w:t> </w:t>
      </w:r>
      <w:r w:rsidRPr="002A6144">
        <w:rPr>
          <w:rFonts w:ascii="UICTFontTextStyleTallBody" w:hAnsi="UICTFontTextStyleTallBody" w:cs="Times New Roman"/>
          <w:color w:val="000000"/>
          <w:kern w:val="0"/>
          <w:sz w:val="26"/>
          <w:szCs w:val="26"/>
          <w14:ligatures w14:val="none"/>
        </w:rPr>
        <w:t>often</w:t>
      </w:r>
      <w:r w:rsidRPr="002A6144">
        <w:rPr>
          <w:rFonts w:ascii="Aptos" w:hAnsi="Aptos" w:cs="Times New Roman"/>
          <w:i/>
          <w:iCs/>
          <w:color w:val="000000"/>
          <w:kern w:val="0"/>
          <w:sz w:val="26"/>
          <w:szCs w:val="26"/>
          <w14:ligatures w14:val="none"/>
        </w:rPr>
        <w:t> </w:t>
      </w:r>
      <w:r w:rsidRPr="002A6144">
        <w:rPr>
          <w:rFonts w:ascii="UICTFontTextStyleTallBody" w:hAnsi="UICTFontTextStyleTallBody" w:cs="Times New Roman"/>
          <w:color w:val="000000"/>
          <w:kern w:val="0"/>
          <w:sz w:val="26"/>
          <w:szCs w:val="26"/>
          <w14:ligatures w14:val="none"/>
        </w:rPr>
        <w:t xml:space="preserve">the antitax movement has been allied against racial equity, beginning with Lee Atwater’s notorious ads against so-called welfare queens and the fight over California’s Proposition 13. This book is required reading for anyone who wants to understand the origins and staying power of the antitax movement that has done so much to define the state of our schools, our transportation, our housing, and our politics. And no one is more qualified to tell this story than Michael Graetz.”—Deborah N. Archer, president of the </w:t>
      </w:r>
      <w:proofErr w:type="gramStart"/>
      <w:r w:rsidRPr="002A6144">
        <w:rPr>
          <w:rFonts w:ascii="UICTFontTextStyleTallBody" w:hAnsi="UICTFontTextStyleTallBody" w:cs="Times New Roman"/>
          <w:color w:val="000000"/>
          <w:kern w:val="0"/>
          <w:sz w:val="26"/>
          <w:szCs w:val="26"/>
          <w14:ligatures w14:val="none"/>
        </w:rPr>
        <w:t>ACLU</w:t>
      </w:r>
      <w:proofErr w:type="gramEnd"/>
    </w:p>
    <w:p w14:paraId="60BBC5FF" w14:textId="77777777" w:rsidR="002A6144" w:rsidRPr="002A6144" w:rsidRDefault="002A6144" w:rsidP="002A6144">
      <w:pPr>
        <w:spacing w:before="100" w:beforeAutospacing="1" w:after="100" w:afterAutospacing="1"/>
        <w:divId w:val="1635863833"/>
        <w:rPr>
          <w:rFonts w:ascii="UICTFontTextStyleTallBody" w:hAnsi="UICTFontTextStyleTallBody" w:cs="Times New Roman"/>
          <w:color w:val="000000"/>
          <w:kern w:val="0"/>
          <w:sz w:val="26"/>
          <w:szCs w:val="26"/>
          <w14:ligatures w14:val="none"/>
        </w:rPr>
      </w:pPr>
      <w:r w:rsidRPr="002A6144">
        <w:rPr>
          <w:rFonts w:ascii="UICTFontTextStyleTallBody" w:hAnsi="UICTFontTextStyleTallBody" w:cs="Times New Roman"/>
          <w:color w:val="000000"/>
          <w:kern w:val="0"/>
          <w:sz w:val="26"/>
          <w:szCs w:val="26"/>
          <w14:ligatures w14:val="none"/>
        </w:rPr>
        <w:t>“With analytical panache, Michael Graetz has provided a fascinating policy history that navigates transformations to the political economy of taxation in the United States during the past half-century. Sure to garner much attention, </w:t>
      </w:r>
      <w:r w:rsidRPr="002A6144">
        <w:rPr>
          <w:rFonts w:ascii="Aptos" w:hAnsi="Aptos" w:cs="Times New Roman"/>
          <w:i/>
          <w:iCs/>
          <w:color w:val="000000"/>
          <w:kern w:val="0"/>
          <w:sz w:val="26"/>
          <w:szCs w:val="26"/>
          <w14:ligatures w14:val="none"/>
        </w:rPr>
        <w:t>The Power to Destroy</w:t>
      </w:r>
      <w:r w:rsidRPr="002A6144">
        <w:rPr>
          <w:rFonts w:ascii="UICTFontTextStyleTallBody" w:hAnsi="UICTFontTextStyleTallBody" w:cs="Times New Roman"/>
          <w:color w:val="000000"/>
          <w:kern w:val="0"/>
          <w:sz w:val="26"/>
          <w:szCs w:val="26"/>
          <w14:ligatures w14:val="none"/>
        </w:rPr>
        <w:t> confers understanding by linking considerations of material interests, movement mobilization, the creation and dissemination of policy ideas, and patterns of political influence to explain the making and doleful effects of antitax successes.”—Ira Katznelson, author of </w:t>
      </w:r>
      <w:r w:rsidRPr="002A6144">
        <w:rPr>
          <w:rFonts w:ascii="Aptos" w:hAnsi="Aptos" w:cs="Times New Roman"/>
          <w:i/>
          <w:iCs/>
          <w:color w:val="000000"/>
          <w:kern w:val="0"/>
          <w:sz w:val="26"/>
          <w:szCs w:val="26"/>
          <w14:ligatures w14:val="none"/>
        </w:rPr>
        <w:t>Fear Itself: The New Deal and the Origins of Our Time</w:t>
      </w:r>
    </w:p>
    <w:p w14:paraId="1EA7AD8B" w14:textId="77777777" w:rsidR="002A6144" w:rsidRPr="002A6144" w:rsidRDefault="002A6144" w:rsidP="002A6144">
      <w:pPr>
        <w:spacing w:before="100" w:beforeAutospacing="1" w:after="100" w:afterAutospacing="1"/>
        <w:divId w:val="1635863833"/>
        <w:rPr>
          <w:rFonts w:ascii="UICTFontTextStyleTallBody" w:hAnsi="UICTFontTextStyleTallBody" w:cs="Times New Roman"/>
          <w:color w:val="000000"/>
          <w:kern w:val="0"/>
          <w:sz w:val="26"/>
          <w:szCs w:val="26"/>
          <w14:ligatures w14:val="none"/>
        </w:rPr>
      </w:pPr>
      <w:r w:rsidRPr="002A6144">
        <w:rPr>
          <w:rFonts w:ascii="UICTFontTextStyleTallBody" w:hAnsi="UICTFontTextStyleTallBody" w:cs="Times New Roman"/>
          <w:color w:val="000000"/>
          <w:kern w:val="0"/>
          <w:sz w:val="26"/>
          <w:szCs w:val="26"/>
          <w14:ligatures w14:val="none"/>
        </w:rPr>
        <w:t>“The antitax movement has made it impossible for government to address many long-term problems. Michael Graetz’s book skillfully and colorfully tells the story of the people and politics behind the movement, the role of race, and landmark events. Putting an enlightening human face on the evolution of tax policy, </w:t>
      </w:r>
      <w:r w:rsidRPr="002A6144">
        <w:rPr>
          <w:rFonts w:ascii="Aptos" w:hAnsi="Aptos" w:cs="Times New Roman"/>
          <w:i/>
          <w:iCs/>
          <w:color w:val="000000"/>
          <w:kern w:val="0"/>
          <w:sz w:val="26"/>
          <w:szCs w:val="26"/>
          <w14:ligatures w14:val="none"/>
        </w:rPr>
        <w:t>The Power to Destroy</w:t>
      </w:r>
      <w:r w:rsidRPr="002A6144">
        <w:rPr>
          <w:rFonts w:ascii="UICTFontTextStyleTallBody" w:hAnsi="UICTFontTextStyleTallBody" w:cs="Times New Roman"/>
          <w:color w:val="000000"/>
          <w:kern w:val="0"/>
          <w:sz w:val="26"/>
          <w:szCs w:val="26"/>
          <w14:ligatures w14:val="none"/>
        </w:rPr>
        <w:t> is a great read.”—William G. Gale, author of </w:t>
      </w:r>
      <w:r w:rsidRPr="002A6144">
        <w:rPr>
          <w:rFonts w:ascii="Aptos" w:hAnsi="Aptos" w:cs="Times New Roman"/>
          <w:i/>
          <w:iCs/>
          <w:color w:val="000000"/>
          <w:kern w:val="0"/>
          <w:sz w:val="26"/>
          <w:szCs w:val="26"/>
          <w14:ligatures w14:val="none"/>
        </w:rPr>
        <w:t>Fiscal Therapy: Curing America’s Debt Addiction and Investing in the Future</w:t>
      </w:r>
    </w:p>
    <w:p w14:paraId="21B9622C" w14:textId="77777777" w:rsidR="002A6144" w:rsidRPr="002A6144" w:rsidRDefault="002A6144" w:rsidP="002A6144">
      <w:pPr>
        <w:divId w:val="1635863833"/>
        <w:rPr>
          <w:rFonts w:ascii="Times New Roman" w:eastAsia="Times New Roman" w:hAnsi="Times New Roman" w:cs="Times New Roman"/>
          <w:kern w:val="0"/>
          <w:sz w:val="24"/>
          <w:szCs w:val="24"/>
          <w14:ligatures w14:val="none"/>
        </w:rPr>
      </w:pPr>
    </w:p>
    <w:p w14:paraId="671D00A1" w14:textId="77777777" w:rsidR="0072535C" w:rsidRDefault="0072535C">
      <w:pPr>
        <w:pStyle w:val="NormalWeb"/>
        <w:rPr>
          <w:rFonts w:ascii="UICTFontTextStyleTallBody" w:hAnsi="UICTFontTextStyleTallBody"/>
          <w:color w:val="000000"/>
          <w:sz w:val="26"/>
          <w:szCs w:val="26"/>
        </w:rPr>
      </w:pPr>
    </w:p>
    <w:p w14:paraId="074CFF65" w14:textId="77777777" w:rsidR="00CA46E2" w:rsidRDefault="00CA46E2"/>
    <w:sectPr w:rsidR="00CA4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UICTFontTextStyleTallBody">
    <w:altName w:val="Cambria"/>
    <w:charset w:val="00"/>
    <w:family w:val="roman"/>
    <w:pitch w:val="default"/>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6E2"/>
    <w:rsid w:val="00174CC6"/>
    <w:rsid w:val="00206D02"/>
    <w:rsid w:val="00242AF7"/>
    <w:rsid w:val="00267CD7"/>
    <w:rsid w:val="002A6144"/>
    <w:rsid w:val="003221D3"/>
    <w:rsid w:val="00377D22"/>
    <w:rsid w:val="003B1D47"/>
    <w:rsid w:val="003E68CE"/>
    <w:rsid w:val="00406653"/>
    <w:rsid w:val="005D61D3"/>
    <w:rsid w:val="005F097C"/>
    <w:rsid w:val="00601E1C"/>
    <w:rsid w:val="0062153E"/>
    <w:rsid w:val="006578AE"/>
    <w:rsid w:val="00684FA6"/>
    <w:rsid w:val="006A7F2A"/>
    <w:rsid w:val="0072535C"/>
    <w:rsid w:val="00850B39"/>
    <w:rsid w:val="008B560D"/>
    <w:rsid w:val="008D675C"/>
    <w:rsid w:val="009E617F"/>
    <w:rsid w:val="00B456AF"/>
    <w:rsid w:val="00BA0A1A"/>
    <w:rsid w:val="00CA46E2"/>
    <w:rsid w:val="00DD3C1B"/>
    <w:rsid w:val="00E2464B"/>
    <w:rsid w:val="00EB0173"/>
    <w:rsid w:val="00F2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60276"/>
  <w15:chartTrackingRefBased/>
  <w15:docId w15:val="{7B45BEC2-61BD-E342-8C51-16904C5C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4CC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46E2"/>
    <w:pPr>
      <w:spacing w:before="100" w:beforeAutospacing="1" w:after="100" w:afterAutospacing="1"/>
    </w:pPr>
    <w:rPr>
      <w:rFonts w:ascii="Times New Roman" w:hAnsi="Times New Roman" w:cs="Times New Roman"/>
      <w:kern w:val="0"/>
      <w:sz w:val="24"/>
      <w:szCs w:val="24"/>
      <w14:ligatures w14:val="none"/>
    </w:rPr>
  </w:style>
  <w:style w:type="character" w:styleId="Emphasis">
    <w:name w:val="Emphasis"/>
    <w:basedOn w:val="DefaultParagraphFont"/>
    <w:uiPriority w:val="20"/>
    <w:qFormat/>
    <w:rsid w:val="00CA46E2"/>
    <w:rPr>
      <w:i/>
      <w:iCs/>
    </w:rPr>
  </w:style>
  <w:style w:type="character" w:styleId="Strong">
    <w:name w:val="Strong"/>
    <w:basedOn w:val="DefaultParagraphFont"/>
    <w:uiPriority w:val="22"/>
    <w:qFormat/>
    <w:rsid w:val="00CA46E2"/>
    <w:rPr>
      <w:b/>
      <w:bCs/>
    </w:rPr>
  </w:style>
  <w:style w:type="character" w:customStyle="1" w:styleId="apple-converted-space">
    <w:name w:val="apple-converted-space"/>
    <w:basedOn w:val="DefaultParagraphFont"/>
    <w:rsid w:val="00CA46E2"/>
  </w:style>
  <w:style w:type="character" w:customStyle="1" w:styleId="Heading1Char">
    <w:name w:val="Heading 1 Char"/>
    <w:basedOn w:val="DefaultParagraphFont"/>
    <w:link w:val="Heading1"/>
    <w:uiPriority w:val="9"/>
    <w:rsid w:val="00174CC6"/>
    <w:rPr>
      <w:rFonts w:asciiTheme="majorHAnsi" w:eastAsiaTheme="majorEastAsia" w:hAnsiTheme="majorHAnsi" w:cstheme="majorBidi"/>
      <w:color w:val="2F5496" w:themeColor="accent1" w:themeShade="B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89365">
      <w:bodyDiv w:val="1"/>
      <w:marLeft w:val="0"/>
      <w:marRight w:val="0"/>
      <w:marTop w:val="0"/>
      <w:marBottom w:val="0"/>
      <w:divBdr>
        <w:top w:val="none" w:sz="0" w:space="0" w:color="auto"/>
        <w:left w:val="none" w:sz="0" w:space="0" w:color="auto"/>
        <w:bottom w:val="none" w:sz="0" w:space="0" w:color="auto"/>
        <w:right w:val="none" w:sz="0" w:space="0" w:color="auto"/>
      </w:divBdr>
      <w:divsChild>
        <w:div w:id="719210076">
          <w:marLeft w:val="0"/>
          <w:marRight w:val="0"/>
          <w:marTop w:val="0"/>
          <w:marBottom w:val="0"/>
          <w:divBdr>
            <w:top w:val="none" w:sz="0" w:space="0" w:color="auto"/>
            <w:left w:val="none" w:sz="0" w:space="0" w:color="auto"/>
            <w:bottom w:val="none" w:sz="0" w:space="0" w:color="auto"/>
            <w:right w:val="none" w:sz="0" w:space="0" w:color="auto"/>
          </w:divBdr>
        </w:div>
      </w:divsChild>
    </w:div>
    <w:div w:id="16358638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5222</Characters>
  <Application>Microsoft Office Word</Application>
  <DocSecurity>0</DocSecurity>
  <Lines>43</Lines>
  <Paragraphs>12</Paragraphs>
  <ScaleCrop>false</ScaleCrop>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Graetz, Michael</dc:creator>
  <cp:keywords/>
  <dc:description/>
  <cp:lastModifiedBy>Patricia Harbold</cp:lastModifiedBy>
  <cp:revision>2</cp:revision>
  <dcterms:created xsi:type="dcterms:W3CDTF">2024-02-01T18:49:00Z</dcterms:created>
  <dcterms:modified xsi:type="dcterms:W3CDTF">2024-02-01T18:49:00Z</dcterms:modified>
</cp:coreProperties>
</file>