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71" w:rsidRDefault="00DC4971" w:rsidP="00CA1C14">
      <w:pPr>
        <w:ind w:left="360" w:right="360"/>
      </w:pPr>
    </w:p>
    <w:p w:rsidR="00E211A1" w:rsidRDefault="00E211A1" w:rsidP="00CA1C14">
      <w:pPr>
        <w:ind w:left="360" w:right="360"/>
      </w:pPr>
    </w:p>
    <w:p w:rsidR="00E211A1" w:rsidRDefault="00E211A1" w:rsidP="00E211A1">
      <w:pPr>
        <w:jc w:val="center"/>
        <w:rPr>
          <w:b/>
          <w:sz w:val="20"/>
        </w:rPr>
      </w:pPr>
      <w:r>
        <w:rPr>
          <w:b/>
          <w:sz w:val="20"/>
        </w:rPr>
        <w:t xml:space="preserve">NUNP 429: </w:t>
      </w:r>
      <w:bookmarkStart w:id="0" w:name="_GoBack"/>
      <w:r>
        <w:rPr>
          <w:b/>
          <w:sz w:val="20"/>
        </w:rPr>
        <w:t xml:space="preserve">Health Promotion &amp; Common Acute Problems </w:t>
      </w:r>
    </w:p>
    <w:p w:rsidR="00E211A1" w:rsidRDefault="00E211A1" w:rsidP="00E211A1">
      <w:pPr>
        <w:jc w:val="center"/>
        <w:rPr>
          <w:b/>
          <w:sz w:val="20"/>
        </w:rPr>
      </w:pPr>
      <w:proofErr w:type="gramStart"/>
      <w:r>
        <w:rPr>
          <w:b/>
          <w:sz w:val="20"/>
        </w:rPr>
        <w:t>of</w:t>
      </w:r>
      <w:proofErr w:type="gramEnd"/>
      <w:r>
        <w:rPr>
          <w:b/>
          <w:sz w:val="20"/>
        </w:rPr>
        <w:t xml:space="preserve"> the Family during the Childbearing Years</w:t>
      </w:r>
    </w:p>
    <w:bookmarkEnd w:id="0"/>
    <w:p w:rsidR="00E211A1" w:rsidRDefault="00E211A1" w:rsidP="00E211A1">
      <w:pPr>
        <w:rPr>
          <w:sz w:val="20"/>
        </w:rPr>
      </w:pPr>
    </w:p>
    <w:p w:rsidR="00E211A1" w:rsidRDefault="00E211A1" w:rsidP="00E211A1">
      <w:pPr>
        <w:rPr>
          <w:sz w:val="20"/>
        </w:rPr>
      </w:pPr>
      <w:r>
        <w:rPr>
          <w:b/>
          <w:sz w:val="20"/>
        </w:rPr>
        <w:t>Course Description</w:t>
      </w:r>
      <w:r>
        <w:rPr>
          <w:sz w:val="20"/>
        </w:rPr>
        <w:t>:</w:t>
      </w:r>
    </w:p>
    <w:p w:rsidR="00E211A1" w:rsidRDefault="00E211A1" w:rsidP="00E211A1">
      <w:pPr>
        <w:rPr>
          <w:sz w:val="20"/>
        </w:rPr>
      </w:pPr>
      <w:r>
        <w:rPr>
          <w:sz w:val="20"/>
        </w:rPr>
        <w:t xml:space="preserve">This course introduces the student to the care of the woman and her family within the preconception, </w:t>
      </w:r>
      <w:proofErr w:type="spellStart"/>
      <w:r>
        <w:rPr>
          <w:sz w:val="20"/>
        </w:rPr>
        <w:t>interconception</w:t>
      </w:r>
      <w:proofErr w:type="spellEnd"/>
      <w:r>
        <w:rPr>
          <w:sz w:val="20"/>
        </w:rPr>
        <w:t xml:space="preserve">, and </w:t>
      </w:r>
      <w:proofErr w:type="spellStart"/>
      <w:r>
        <w:rPr>
          <w:sz w:val="20"/>
        </w:rPr>
        <w:t>nulliconception</w:t>
      </w:r>
      <w:proofErr w:type="spellEnd"/>
      <w:r>
        <w:rPr>
          <w:sz w:val="20"/>
        </w:rPr>
        <w:t xml:space="preserve"> periods.  Assessment of physical and psychosocial health and deviations are the central content.  The course content also includes principles of education for childbearing, parenting, and fertility control.  Nursing strategies to optimize health-seeking behaviors of the family during childbearing years are identified.  The clinical component focuses on the care of women experiencing an acute health/illness episode.</w:t>
      </w:r>
    </w:p>
    <w:p w:rsidR="00E211A1" w:rsidRDefault="00E211A1" w:rsidP="00E211A1">
      <w:pPr>
        <w:rPr>
          <w:sz w:val="20"/>
        </w:rPr>
      </w:pPr>
      <w:r>
        <w:rPr>
          <w:b/>
          <w:sz w:val="20"/>
        </w:rPr>
        <w:t>Course Objectives</w:t>
      </w:r>
      <w:r>
        <w:rPr>
          <w:sz w:val="20"/>
        </w:rPr>
        <w:t>:</w:t>
      </w:r>
    </w:p>
    <w:p w:rsidR="00E211A1" w:rsidRDefault="00E211A1" w:rsidP="00E211A1">
      <w:pPr>
        <w:pStyle w:val="level1"/>
        <w:widowControl/>
        <w:numPr>
          <w:ilvl w:val="0"/>
          <w:numId w:val="1"/>
        </w:numPr>
        <w:tabs>
          <w:tab w:val="clear" w:pos="360"/>
          <w:tab w:val="clear" w:pos="360"/>
        </w:tabs>
        <w:ind w:left="720" w:hanging="720"/>
        <w:rPr>
          <w:sz w:val="20"/>
        </w:rPr>
      </w:pPr>
      <w:r>
        <w:rPr>
          <w:sz w:val="20"/>
        </w:rPr>
        <w:tab/>
        <w:t>Analyze the role of the family nurse practitioner in the primary health care of the family during the childbearing years.</w:t>
      </w:r>
    </w:p>
    <w:p w:rsidR="00E211A1" w:rsidRDefault="00E211A1" w:rsidP="00E211A1">
      <w:pPr>
        <w:pStyle w:val="level1"/>
        <w:widowControl/>
        <w:numPr>
          <w:ilvl w:val="0"/>
          <w:numId w:val="1"/>
        </w:numPr>
        <w:tabs>
          <w:tab w:val="clear" w:pos="360"/>
          <w:tab w:val="clear" w:pos="360"/>
        </w:tabs>
        <w:ind w:left="720" w:hanging="720"/>
        <w:rPr>
          <w:sz w:val="20"/>
        </w:rPr>
      </w:pPr>
      <w:r>
        <w:rPr>
          <w:sz w:val="20"/>
        </w:rPr>
        <w:tab/>
        <w:t>Describe health-seeking behaviors and mechanisms specific to families during the childbearing years and analyze strategies to promote such behaviors and mechanisms.</w:t>
      </w:r>
    </w:p>
    <w:p w:rsidR="00E211A1" w:rsidRDefault="00E211A1" w:rsidP="00E211A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0"/>
        </w:rPr>
      </w:pPr>
      <w:r>
        <w:rPr>
          <w:sz w:val="20"/>
        </w:rPr>
        <w:t>3.</w:t>
      </w:r>
      <w:r>
        <w:rPr>
          <w:sz w:val="20"/>
        </w:rPr>
        <w:tab/>
        <w:t>Integrate knowledge and skill for the management of women and families during the uncomplicated maternity cycle and for the diagnosis, management, or referral of common and acute problems.</w:t>
      </w:r>
    </w:p>
    <w:p w:rsidR="00E211A1" w:rsidRDefault="00E211A1" w:rsidP="00E211A1">
      <w:pPr>
        <w:pStyle w:val="BodyTextI1"/>
        <w:rPr>
          <w:sz w:val="20"/>
        </w:rPr>
      </w:pPr>
      <w:r>
        <w:rPr>
          <w:sz w:val="20"/>
        </w:rPr>
        <w:t>4.</w:t>
      </w:r>
      <w:r>
        <w:rPr>
          <w:sz w:val="20"/>
        </w:rPr>
        <w:tab/>
        <w:t>Apply principles and concepts of decision-making and health education to pregnancy, childbirth, parenthood, and conception control.</w:t>
      </w:r>
    </w:p>
    <w:p w:rsidR="00E211A1" w:rsidRDefault="00E211A1" w:rsidP="00E211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rPr>
      </w:pPr>
      <w:r>
        <w:rPr>
          <w:sz w:val="20"/>
        </w:rPr>
        <w:t>5.</w:t>
      </w:r>
      <w:r>
        <w:rPr>
          <w:sz w:val="20"/>
        </w:rPr>
        <w:tab/>
        <w:t>Analyze the impact of childbearing on the family and its individual members.</w:t>
      </w:r>
    </w:p>
    <w:p w:rsidR="00E211A1" w:rsidRDefault="00E211A1" w:rsidP="00E211A1">
      <w:pPr>
        <w:pStyle w:val="level1"/>
        <w:numPr>
          <w:ilvl w:val="0"/>
          <w:numId w:val="2"/>
        </w:numPr>
        <w:tabs>
          <w:tab w:val="clear" w:pos="360"/>
          <w:tab w:val="clear" w:pos="360"/>
          <w:tab w:val="left" w:pos="-1440"/>
        </w:tabs>
        <w:ind w:left="720" w:hanging="720"/>
        <w:jc w:val="both"/>
        <w:rPr>
          <w:sz w:val="20"/>
        </w:rPr>
      </w:pPr>
      <w:r>
        <w:rPr>
          <w:sz w:val="20"/>
        </w:rPr>
        <w:tab/>
        <w:t>Integrate knowledge and skills to meet needs specific to the reproductive health of women and families before and after pregnancy including those needs related to sexuality, fertility control, and well woman gynecology.</w:t>
      </w:r>
    </w:p>
    <w:p w:rsidR="00E211A1" w:rsidRDefault="00E211A1" w:rsidP="00E211A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0"/>
        </w:rPr>
      </w:pPr>
      <w:r>
        <w:rPr>
          <w:sz w:val="20"/>
        </w:rPr>
        <w:t>7.</w:t>
      </w:r>
      <w:r>
        <w:rPr>
          <w:sz w:val="20"/>
        </w:rPr>
        <w:tab/>
        <w:t>Analyze current research relevant to the care of families during the childbearing years and facilitate the application of research knowledge into plans of management.</w:t>
      </w:r>
    </w:p>
    <w:p w:rsidR="00E211A1" w:rsidRDefault="00E211A1" w:rsidP="00E211A1">
      <w:pPr>
        <w:rPr>
          <w:sz w:val="20"/>
        </w:rPr>
      </w:pPr>
    </w:p>
    <w:p w:rsidR="00E211A1" w:rsidRDefault="00E211A1" w:rsidP="00CA1C14">
      <w:pPr>
        <w:ind w:left="360" w:right="360"/>
      </w:pPr>
    </w:p>
    <w:p w:rsidR="00DC4971" w:rsidRDefault="00DC4971" w:rsidP="00CA1C14">
      <w:pPr>
        <w:ind w:left="360" w:right="360"/>
      </w:pPr>
    </w:p>
    <w:p w:rsidR="00DC4971" w:rsidRDefault="00DC4971" w:rsidP="00CA1C14">
      <w:pPr>
        <w:ind w:left="360" w:right="360"/>
      </w:pPr>
    </w:p>
    <w:p w:rsidR="00DC4971" w:rsidRDefault="00DC4971" w:rsidP="00CA1C14">
      <w:pPr>
        <w:ind w:left="360" w:right="360"/>
      </w:pPr>
    </w:p>
    <w:p w:rsidR="00CA1C14" w:rsidRDefault="00CA1C14" w:rsidP="00CA1C14">
      <w:pPr>
        <w:ind w:left="360" w:right="360"/>
      </w:pPr>
    </w:p>
    <w:p w:rsidR="00004517" w:rsidRDefault="003917AD" w:rsidP="00CA1C14">
      <w:pPr>
        <w:ind w:left="360" w:right="360"/>
      </w:pPr>
      <w:r>
        <w:rPr>
          <w:noProof/>
          <w:lang w:eastAsia="en-US"/>
        </w:rPr>
        <mc:AlternateContent>
          <mc:Choice Requires="wps">
            <w:drawing>
              <wp:anchor distT="0" distB="0" distL="114300" distR="114300" simplePos="0" relativeHeight="251659264" behindDoc="1" locked="1" layoutInCell="1" allowOverlap="1" wp14:anchorId="2E56E3D0" wp14:editId="566E72F6">
                <wp:simplePos x="0" y="0"/>
                <wp:positionH relativeFrom="column">
                  <wp:posOffset>4171950</wp:posOffset>
                </wp:positionH>
                <wp:positionV relativeFrom="page">
                  <wp:posOffset>647700</wp:posOffset>
                </wp:positionV>
                <wp:extent cx="2657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3985"/>
                        </a:xfrm>
                        <a:prstGeom prst="rect">
                          <a:avLst/>
                        </a:prstGeom>
                        <a:solidFill>
                          <a:srgbClr val="FFFFFF"/>
                        </a:solidFill>
                        <a:ln w="9525">
                          <a:noFill/>
                          <a:miter lim="800000"/>
                          <a:headEnd/>
                          <a:tailEnd/>
                        </a:ln>
                      </wps:spPr>
                      <wps:txbx>
                        <w:txbxContent>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Frances Payne Bolton School of Nursing</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Case Western Reserve University</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10900 Euclid Avenue</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Cleveland, Ohio 44106-4904</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TEL: 216.368.4700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FAX: 216.368.5050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fpb.case.edu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6E3D0" id="_x0000_t202" coordsize="21600,21600" o:spt="202" path="m,l,21600r21600,l21600,xe">
                <v:stroke joinstyle="miter"/>
                <v:path gradientshapeok="t" o:connecttype="rect"/>
              </v:shapetype>
              <v:shape id="Text Box 2" o:spid="_x0000_s1026" type="#_x0000_t202" style="position:absolute;left:0;text-align:left;margin-left:328.5pt;margin-top:51pt;width:209.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" stroked="f">
                <v:textbox style="mso-fit-shape-to-text:t">
                  <w:txbxContent>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Frances Payne Bolton School of Nursing</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Case Western Reserve University</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10900 Euclid Avenue</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Cleveland, Ohio 44106-4904</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TEL: 216.368.4700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FAX: 216.368.5050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fpb.case.edu</w:t>
                      </w:r>
                    </w:p>
                  </w:txbxContent>
                </v:textbox>
                <w10:wrap anchory="page"/>
                <w10:anchorlock/>
              </v:shape>
            </w:pict>
          </mc:Fallback>
        </mc:AlternateContent>
      </w:r>
      <w:r w:rsidR="004D4EF5">
        <w:rPr>
          <w:noProof/>
          <w:lang w:eastAsia="en-US"/>
        </w:rPr>
        <w:drawing>
          <wp:anchor distT="0" distB="0" distL="114300" distR="114300" simplePos="0" relativeHeight="251660288" behindDoc="0" locked="0" layoutInCell="1" allowOverlap="1" wp14:anchorId="663D1D62" wp14:editId="519D2685">
            <wp:simplePos x="0" y="0"/>
            <wp:positionH relativeFrom="column">
              <wp:posOffset>1866900</wp:posOffset>
            </wp:positionH>
            <wp:positionV relativeFrom="paragraph">
              <wp:posOffset>7982585</wp:posOffset>
            </wp:positionV>
            <wp:extent cx="312420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RU-FPB-black-logo.png"/>
                    <pic:cNvPicPr/>
                  </pic:nvPicPr>
                  <pic:blipFill>
                    <a:blip r:embed="rId8">
                      <a:extLst>
                        <a:ext uri="{28A0092B-C50C-407E-A947-70E740481C1C}">
                          <a14:useLocalDpi xmlns:a14="http://schemas.microsoft.com/office/drawing/2010/main" val="0"/>
                        </a:ext>
                      </a:extLst>
                    </a:blip>
                    <a:stretch>
                      <a:fillRect/>
                    </a:stretch>
                  </pic:blipFill>
                  <pic:spPr>
                    <a:xfrm>
                      <a:off x="0" y="0"/>
                      <a:ext cx="3124200" cy="790575"/>
                    </a:xfrm>
                    <a:prstGeom prst="rect">
                      <a:avLst/>
                    </a:prstGeom>
                  </pic:spPr>
                </pic:pic>
              </a:graphicData>
            </a:graphic>
            <wp14:sizeRelH relativeFrom="page">
              <wp14:pctWidth>0</wp14:pctWidth>
            </wp14:sizeRelH>
            <wp14:sizeRelV relativeFrom="page">
              <wp14:pctHeight>0</wp14:pctHeight>
            </wp14:sizeRelV>
          </wp:anchor>
        </w:drawing>
      </w:r>
    </w:p>
    <w:sectPr w:rsidR="00004517" w:rsidSect="00E211A1">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098" w:rsidRDefault="00316098" w:rsidP="004D4EF5">
      <w:pPr>
        <w:spacing w:after="0" w:line="240" w:lineRule="auto"/>
      </w:pPr>
      <w:r>
        <w:separator/>
      </w:r>
    </w:p>
  </w:endnote>
  <w:endnote w:type="continuationSeparator" w:id="0">
    <w:p w:rsidR="00316098" w:rsidRDefault="00316098" w:rsidP="004D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Maps26L">
    <w:altName w:val="Arial"/>
    <w:panose1 w:val="00000000000000000000"/>
    <w:charset w:val="00"/>
    <w:family w:val="modern"/>
    <w:notTrueType/>
    <w:pitch w:val="variable"/>
    <w:sig w:usb0="A00000EF" w:usb1="0000204B"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098" w:rsidRDefault="00316098" w:rsidP="004D4EF5">
      <w:pPr>
        <w:spacing w:after="0" w:line="240" w:lineRule="auto"/>
      </w:pPr>
      <w:r>
        <w:separator/>
      </w:r>
    </w:p>
  </w:footnote>
  <w:footnote w:type="continuationSeparator" w:id="0">
    <w:p w:rsidR="00316098" w:rsidRDefault="00316098" w:rsidP="004D4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F5" w:rsidRDefault="00C51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2999" o:spid="_x0000_s2053" type="#_x0000_t75" style="position:absolute;margin-left:0;margin-top:0;width:539.95pt;height:719.95pt;z-index:-251657216;mso-position-horizontal:center;mso-position-horizontal-relative:margin;mso-position-vertical:center;mso-position-vertical-relative:margin" o:allowincell="f">
          <v:imagedata r:id="rId1" o:title="open frame with 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F5" w:rsidRDefault="00C51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3000" o:spid="_x0000_s2054" type="#_x0000_t75" style="position:absolute;margin-left:0;margin-top:0;width:539.95pt;height:719.95pt;z-index:-251656192;mso-position-horizontal:center;mso-position-horizontal-relative:margin;mso-position-vertical:center;mso-position-vertical-relative:margin" o:allowincell="f">
          <v:imagedata r:id="rId1" o:title="open frame with 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F5" w:rsidRDefault="00C51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2998" o:spid="_x0000_s2052" type="#_x0000_t75" style="position:absolute;margin-left:0;margin-top:0;width:539.95pt;height:719.95pt;z-index:-251658240;mso-position-horizontal:center;mso-position-horizontal-relative:margin;mso-position-vertical:center;mso-position-vertical-relative:margin" o:allowincell="f">
          <v:imagedata r:id="rId1" o:title="open frame with 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39"/>
    <w:rsid w:val="00004517"/>
    <w:rsid w:val="001B7C39"/>
    <w:rsid w:val="0027713A"/>
    <w:rsid w:val="00316098"/>
    <w:rsid w:val="00355979"/>
    <w:rsid w:val="003917AD"/>
    <w:rsid w:val="004D4EF5"/>
    <w:rsid w:val="008048D7"/>
    <w:rsid w:val="00904FCE"/>
    <w:rsid w:val="00B96199"/>
    <w:rsid w:val="00C51B2E"/>
    <w:rsid w:val="00CA1C14"/>
    <w:rsid w:val="00CD7345"/>
    <w:rsid w:val="00DC4971"/>
    <w:rsid w:val="00E211A1"/>
    <w:rsid w:val="00E82CF2"/>
    <w:rsid w:val="00F7059C"/>
    <w:rsid w:val="00FB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E0DFAFD-93B6-49C0-8B2C-DF30B83C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CE"/>
    <w:rPr>
      <w:rFonts w:ascii="Tahoma" w:hAnsi="Tahoma" w:cs="Tahoma"/>
      <w:sz w:val="16"/>
      <w:szCs w:val="16"/>
    </w:rPr>
  </w:style>
  <w:style w:type="paragraph" w:styleId="Header">
    <w:name w:val="header"/>
    <w:basedOn w:val="Normal"/>
    <w:link w:val="HeaderChar"/>
    <w:uiPriority w:val="99"/>
    <w:unhideWhenUsed/>
    <w:rsid w:val="004D4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EF5"/>
  </w:style>
  <w:style w:type="paragraph" w:styleId="Footer">
    <w:name w:val="footer"/>
    <w:basedOn w:val="Normal"/>
    <w:link w:val="FooterChar"/>
    <w:uiPriority w:val="99"/>
    <w:unhideWhenUsed/>
    <w:rsid w:val="004D4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EF5"/>
  </w:style>
  <w:style w:type="paragraph" w:customStyle="1" w:styleId="level1">
    <w:name w:val="_level1"/>
    <w:basedOn w:val="Normal"/>
    <w:rsid w:val="00E211A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lang w:eastAsia="en-US"/>
    </w:rPr>
  </w:style>
  <w:style w:type="paragraph" w:customStyle="1" w:styleId="BodyTextI1">
    <w:name w:val="Body Text I1"/>
    <w:basedOn w:val="Normal"/>
    <w:rsid w:val="00E211A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f19\Documents\NUNP%20429\NUNP%20429%20course%20description%20and%20objectiv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3CCC-E77D-4E89-ADD8-24F92637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NUNP 429 course description and objectives</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Franklin</dc:creator>
  <cp:lastModifiedBy>Kimberly Cornuelle</cp:lastModifiedBy>
  <cp:revision>2</cp:revision>
  <dcterms:created xsi:type="dcterms:W3CDTF">2013-11-04T18:34:00Z</dcterms:created>
  <dcterms:modified xsi:type="dcterms:W3CDTF">2013-11-04T18:34:00Z</dcterms:modified>
</cp:coreProperties>
</file>