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71" w:rsidRDefault="00DC4971" w:rsidP="00CA1C14">
      <w:pPr>
        <w:ind w:left="360" w:right="360"/>
      </w:pPr>
    </w:p>
    <w:p w:rsidR="001E7BC1" w:rsidRDefault="001E7BC1" w:rsidP="00CA1C14">
      <w:pPr>
        <w:ind w:left="360" w:right="360"/>
      </w:pPr>
    </w:p>
    <w:p w:rsidR="00992C67" w:rsidRPr="00992C67" w:rsidRDefault="008A6871" w:rsidP="00992C67">
      <w:pPr>
        <w:pStyle w:val="Heading1"/>
        <w:jc w:val="center"/>
        <w:rPr>
          <w:rFonts w:ascii="Times New Roman" w:hAnsi="Times New Roman"/>
          <w:sz w:val="24"/>
          <w:szCs w:val="24"/>
        </w:rPr>
      </w:pPr>
      <w:r>
        <w:rPr>
          <w:sz w:val="24"/>
          <w:szCs w:val="24"/>
        </w:rPr>
        <w:t>NURS 488</w:t>
      </w:r>
      <w:r w:rsidR="001E7BC1" w:rsidRPr="002360BB">
        <w:rPr>
          <w:sz w:val="24"/>
          <w:szCs w:val="24"/>
        </w:rPr>
        <w:t xml:space="preserve"> - </w:t>
      </w:r>
      <w:bookmarkStart w:id="0" w:name="_GoBack"/>
      <w:r w:rsidR="00992C67" w:rsidRPr="00992C67">
        <w:rPr>
          <w:rFonts w:ascii="Times New Roman" w:hAnsi="Times New Roman"/>
          <w:sz w:val="24"/>
          <w:szCs w:val="24"/>
        </w:rPr>
        <w:t xml:space="preserve">Theoretical Basis of Practicum and Supervision in Consultation, </w:t>
      </w:r>
      <w:r w:rsidR="00992C67">
        <w:rPr>
          <w:rFonts w:ascii="Times New Roman" w:hAnsi="Times New Roman"/>
          <w:sz w:val="24"/>
          <w:szCs w:val="24"/>
        </w:rPr>
        <w:br/>
      </w:r>
      <w:r w:rsidR="00992C67" w:rsidRPr="00992C67">
        <w:rPr>
          <w:rFonts w:ascii="Times New Roman" w:hAnsi="Times New Roman"/>
          <w:sz w:val="24"/>
          <w:szCs w:val="24"/>
        </w:rPr>
        <w:t>Collaboration and Mental Health Education</w:t>
      </w:r>
      <w:bookmarkEnd w:id="0"/>
    </w:p>
    <w:p w:rsidR="001E7BC1" w:rsidRPr="008E0572" w:rsidRDefault="001E7BC1" w:rsidP="008E0572">
      <w:pPr>
        <w:pStyle w:val="Heading1"/>
        <w:jc w:val="center"/>
        <w:rPr>
          <w:rFonts w:ascii="Times New Roman" w:hAnsi="Times New Roman"/>
          <w:sz w:val="24"/>
          <w:szCs w:val="24"/>
        </w:rPr>
      </w:pPr>
    </w:p>
    <w:p w:rsidR="001E7BC1" w:rsidRDefault="001E7BC1" w:rsidP="00CA1C14">
      <w:pPr>
        <w:ind w:left="360" w:right="360"/>
      </w:pPr>
    </w:p>
    <w:p w:rsidR="001E7BC1" w:rsidRDefault="001E7BC1" w:rsidP="001E7BC1">
      <w:pPr>
        <w:widowControl w:val="0"/>
        <w:jc w:val="both"/>
      </w:pPr>
      <w:r>
        <w:rPr>
          <w:b/>
        </w:rPr>
        <w:t>COURSE DESCRIPTION:</w:t>
      </w:r>
    </w:p>
    <w:p w:rsidR="00992C67" w:rsidRPr="00992C67" w:rsidRDefault="00992C67" w:rsidP="00992C67">
      <w:pPr>
        <w:pStyle w:val="BodyText"/>
        <w:rPr>
          <w:rFonts w:ascii="Times New Roman" w:hAnsi="Times New Roman"/>
        </w:rPr>
      </w:pPr>
      <w:r w:rsidRPr="00992C67">
        <w:rPr>
          <w:rFonts w:ascii="Times New Roman" w:hAnsi="Times New Roman"/>
        </w:rPr>
        <w:t>This course focuses on the professional encounter between the</w:t>
      </w:r>
      <w:r w:rsidR="007A02F5">
        <w:rPr>
          <w:rFonts w:ascii="Times New Roman" w:hAnsi="Times New Roman"/>
        </w:rPr>
        <w:t xml:space="preserve"> nurse consultant educator and </w:t>
      </w:r>
      <w:r w:rsidRPr="00992C67">
        <w:rPr>
          <w:rFonts w:ascii="Times New Roman" w:hAnsi="Times New Roman"/>
        </w:rPr>
        <w:t>families</w:t>
      </w:r>
      <w:proofErr w:type="gramStart"/>
      <w:r w:rsidRPr="00992C67">
        <w:rPr>
          <w:rFonts w:ascii="Times New Roman" w:hAnsi="Times New Roman"/>
        </w:rPr>
        <w:t>,  work</w:t>
      </w:r>
      <w:proofErr w:type="gramEnd"/>
      <w:r w:rsidRPr="00992C67">
        <w:rPr>
          <w:rFonts w:ascii="Times New Roman" w:hAnsi="Times New Roman"/>
        </w:rPr>
        <w:t xml:space="preserve"> groups and communities within the context of an environment of care. The nurse consultant educator applies general systems and family systems theory to enhance the capacity of families to learn, adapt and develop through mutual interaction and cybernetic processes. The roles of the nurse, educator, researcher, adminis</w:t>
      </w:r>
      <w:r w:rsidR="007A02F5">
        <w:rPr>
          <w:rFonts w:ascii="Times New Roman" w:hAnsi="Times New Roman"/>
        </w:rPr>
        <w:t>trator and therapist supervisor</w:t>
      </w:r>
      <w:r w:rsidRPr="00992C67">
        <w:rPr>
          <w:rFonts w:ascii="Times New Roman" w:hAnsi="Times New Roman"/>
        </w:rPr>
        <w:t xml:space="preserve"> are explored. The theories and processes of consultation, collaboration and adult education are discussed relative to mental health and community education.</w:t>
      </w:r>
    </w:p>
    <w:p w:rsidR="001E7BC1" w:rsidRDefault="001E7BC1" w:rsidP="001E7BC1">
      <w:pPr>
        <w:pStyle w:val="BodyText"/>
        <w:jc w:val="left"/>
        <w:rPr>
          <w:rFonts w:ascii="Times New Roman" w:hAnsi="Times New Roman"/>
          <w:sz w:val="22"/>
        </w:rPr>
      </w:pPr>
    </w:p>
    <w:p w:rsidR="001E7BC1" w:rsidRDefault="001E7BC1" w:rsidP="001E7BC1">
      <w:pPr>
        <w:widowControl w:val="0"/>
        <w:jc w:val="both"/>
      </w:pPr>
      <w:r>
        <w:rPr>
          <w:b/>
        </w:rPr>
        <w:t>OBJECTIVES:</w:t>
      </w:r>
    </w:p>
    <w:p w:rsidR="001E7BC1" w:rsidRDefault="001E7BC1" w:rsidP="001E7BC1">
      <w:pPr>
        <w:widowControl w:val="0"/>
        <w:jc w:val="both"/>
      </w:pPr>
      <w:r>
        <w:t>Upon successful completion of this course the student will be able to:</w:t>
      </w:r>
    </w:p>
    <w:p w:rsidR="00992C67" w:rsidRPr="00992C67" w:rsidRDefault="00992C67" w:rsidP="00992C67">
      <w:pPr>
        <w:pStyle w:val="ListParagraph"/>
        <w:numPr>
          <w:ilvl w:val="0"/>
          <w:numId w:val="5"/>
        </w:numPr>
        <w:tabs>
          <w:tab w:val="left" w:pos="1601"/>
          <w:tab w:val="right" w:pos="9646"/>
        </w:tabs>
        <w:spacing w:after="0" w:line="240" w:lineRule="auto"/>
        <w:rPr>
          <w:rFonts w:ascii="Arial" w:eastAsia="Times New Roman" w:hAnsi="Arial" w:cs="Arial"/>
          <w:noProof/>
          <w:lang w:eastAsia="en-US"/>
        </w:rPr>
      </w:pPr>
      <w:r w:rsidRPr="00992C67">
        <w:rPr>
          <w:rFonts w:ascii="Arial" w:eastAsia="Times New Roman" w:hAnsi="Arial" w:cs="Arial"/>
          <w:noProof/>
          <w:lang w:eastAsia="en-US"/>
        </w:rPr>
        <w:t>Apply theories of mental health consulation, education, supervision and leadership.</w:t>
      </w:r>
    </w:p>
    <w:p w:rsidR="00992C67" w:rsidRPr="00992C67" w:rsidRDefault="00992C67" w:rsidP="00992C67">
      <w:pPr>
        <w:tabs>
          <w:tab w:val="left" w:pos="1601"/>
          <w:tab w:val="right" w:pos="9646"/>
        </w:tabs>
        <w:spacing w:after="0" w:line="240" w:lineRule="auto"/>
        <w:ind w:left="867"/>
        <w:rPr>
          <w:rFonts w:ascii="Arial" w:eastAsia="Times New Roman" w:hAnsi="Arial" w:cs="Arial"/>
          <w:noProof/>
          <w:lang w:eastAsia="en-US"/>
        </w:rPr>
      </w:pPr>
    </w:p>
    <w:p w:rsidR="00992C67" w:rsidRPr="00992C67" w:rsidRDefault="00992C67" w:rsidP="00992C67">
      <w:pPr>
        <w:pStyle w:val="ListParagraph"/>
        <w:numPr>
          <w:ilvl w:val="0"/>
          <w:numId w:val="5"/>
        </w:numPr>
        <w:tabs>
          <w:tab w:val="left" w:pos="1601"/>
          <w:tab w:val="right" w:pos="9646"/>
        </w:tabs>
        <w:spacing w:after="0" w:line="240" w:lineRule="auto"/>
        <w:rPr>
          <w:rFonts w:ascii="Arial" w:eastAsia="Times New Roman" w:hAnsi="Arial" w:cs="Arial"/>
          <w:noProof/>
          <w:lang w:eastAsia="en-US"/>
        </w:rPr>
      </w:pPr>
      <w:r w:rsidRPr="00992C67">
        <w:rPr>
          <w:rFonts w:ascii="Arial" w:eastAsia="Times New Roman" w:hAnsi="Arial" w:cs="Arial"/>
          <w:noProof/>
          <w:lang w:eastAsia="en-US"/>
        </w:rPr>
        <w:t>Demonstrate application of consultation theories and evidence based interventions related to family centered patient education.</w:t>
      </w:r>
    </w:p>
    <w:p w:rsidR="00992C67" w:rsidRPr="00992C67" w:rsidRDefault="00992C67" w:rsidP="00992C67">
      <w:pPr>
        <w:tabs>
          <w:tab w:val="left" w:pos="1601"/>
          <w:tab w:val="right" w:pos="9646"/>
        </w:tabs>
        <w:spacing w:after="0" w:line="240" w:lineRule="auto"/>
        <w:ind w:left="867"/>
        <w:rPr>
          <w:rFonts w:ascii="Arial" w:eastAsia="Times New Roman" w:hAnsi="Arial" w:cs="Arial"/>
          <w:noProof/>
          <w:lang w:eastAsia="en-US"/>
        </w:rPr>
      </w:pPr>
    </w:p>
    <w:p w:rsidR="00992C67" w:rsidRPr="00992C67" w:rsidRDefault="00992C67" w:rsidP="00992C67">
      <w:pPr>
        <w:pStyle w:val="ListParagraph"/>
        <w:numPr>
          <w:ilvl w:val="0"/>
          <w:numId w:val="5"/>
        </w:numPr>
        <w:tabs>
          <w:tab w:val="left" w:pos="913"/>
          <w:tab w:val="left" w:pos="1592"/>
          <w:tab w:val="left" w:leader="dot" w:pos="4203"/>
          <w:tab w:val="right" w:pos="9581"/>
        </w:tabs>
        <w:spacing w:after="0" w:line="240" w:lineRule="auto"/>
        <w:rPr>
          <w:rFonts w:ascii="Arial" w:eastAsia="Times New Roman" w:hAnsi="Arial" w:cs="Arial"/>
          <w:noProof/>
          <w:lang w:eastAsia="en-US"/>
        </w:rPr>
      </w:pPr>
      <w:r w:rsidRPr="00992C67">
        <w:rPr>
          <w:rFonts w:ascii="Arial" w:eastAsia="Times New Roman" w:hAnsi="Arial" w:cs="Arial"/>
          <w:noProof/>
          <w:lang w:eastAsia="en-US"/>
        </w:rPr>
        <w:t>Implement the role of the psychiatric nurse practitioner/clinical nurse specialist as it relates to family centered education for families and the community.</w:t>
      </w:r>
    </w:p>
    <w:p w:rsidR="00992C67" w:rsidRPr="00992C67" w:rsidRDefault="00992C67" w:rsidP="00992C67">
      <w:pPr>
        <w:tabs>
          <w:tab w:val="left" w:pos="913"/>
          <w:tab w:val="left" w:pos="1592"/>
          <w:tab w:val="left" w:leader="dot" w:pos="4203"/>
          <w:tab w:val="right" w:pos="9581"/>
        </w:tabs>
        <w:spacing w:after="0" w:line="240" w:lineRule="auto"/>
        <w:ind w:left="863"/>
        <w:rPr>
          <w:rFonts w:ascii="Arial" w:eastAsia="Times New Roman" w:hAnsi="Arial" w:cs="Arial"/>
          <w:noProof/>
          <w:lang w:eastAsia="en-US"/>
        </w:rPr>
      </w:pPr>
    </w:p>
    <w:p w:rsidR="00992C67" w:rsidRPr="00992C67" w:rsidRDefault="00992C67" w:rsidP="00992C67">
      <w:pPr>
        <w:pStyle w:val="ListParagraph"/>
        <w:numPr>
          <w:ilvl w:val="0"/>
          <w:numId w:val="5"/>
        </w:numPr>
        <w:tabs>
          <w:tab w:val="left" w:pos="1587"/>
          <w:tab w:val="right" w:pos="9646"/>
        </w:tabs>
        <w:spacing w:after="0" w:line="240" w:lineRule="auto"/>
        <w:rPr>
          <w:rFonts w:ascii="Arial" w:eastAsia="Times New Roman" w:hAnsi="Arial" w:cs="Arial"/>
          <w:noProof/>
          <w:lang w:eastAsia="en-US"/>
        </w:rPr>
      </w:pPr>
      <w:r w:rsidRPr="00992C67">
        <w:rPr>
          <w:rFonts w:ascii="Arial" w:eastAsia="Times New Roman" w:hAnsi="Arial" w:cs="Arial"/>
          <w:noProof/>
          <w:lang w:eastAsia="en-US"/>
        </w:rPr>
        <w:t xml:space="preserve">Demonstrate ability to uitilze transdisciplinary faculty and peer supervision for professional and </w:t>
      </w:r>
    </w:p>
    <w:p w:rsidR="00992C67" w:rsidRPr="00992C67" w:rsidRDefault="00992C67" w:rsidP="00992C67">
      <w:pPr>
        <w:pStyle w:val="ListParagraph"/>
        <w:tabs>
          <w:tab w:val="left" w:pos="1587"/>
          <w:tab w:val="right" w:pos="9646"/>
        </w:tabs>
        <w:spacing w:after="0" w:line="240" w:lineRule="auto"/>
        <w:rPr>
          <w:rFonts w:ascii="Arial" w:eastAsia="Times New Roman" w:hAnsi="Arial" w:cs="Arial"/>
          <w:noProof/>
          <w:lang w:eastAsia="en-US"/>
        </w:rPr>
      </w:pPr>
      <w:r w:rsidRPr="00992C67">
        <w:rPr>
          <w:rFonts w:ascii="Arial" w:eastAsia="Times New Roman" w:hAnsi="Arial" w:cs="Arial"/>
          <w:noProof/>
          <w:lang w:eastAsia="en-US"/>
        </w:rPr>
        <w:t>personal development as a psychiatric nurse practitioner/clinical nurse specialist and clinical leader.</w:t>
      </w:r>
    </w:p>
    <w:p w:rsidR="00DC4971" w:rsidRDefault="00DC4971" w:rsidP="00CA1C14">
      <w:pPr>
        <w:ind w:left="360" w:right="360"/>
      </w:pPr>
    </w:p>
    <w:p w:rsidR="00CA1C14" w:rsidRDefault="00CA1C14" w:rsidP="00CA1C14">
      <w:pPr>
        <w:ind w:left="360" w:right="360"/>
      </w:pPr>
    </w:p>
    <w:p w:rsidR="00004517" w:rsidRDefault="003917AD" w:rsidP="00CA1C14">
      <w:pPr>
        <w:ind w:left="360" w:right="360"/>
      </w:pPr>
      <w:r>
        <w:rPr>
          <w:noProof/>
          <w:lang w:eastAsia="en-US"/>
        </w:rPr>
        <mc:AlternateContent>
          <mc:Choice Requires="wps">
            <w:drawing>
              <wp:anchor distT="0" distB="0" distL="114300" distR="114300" simplePos="0" relativeHeight="251659264" behindDoc="1" locked="1" layoutInCell="1" allowOverlap="1" wp14:anchorId="2E56E3D0" wp14:editId="566E72F6">
                <wp:simplePos x="0" y="0"/>
                <wp:positionH relativeFrom="column">
                  <wp:posOffset>4171950</wp:posOffset>
                </wp:positionH>
                <wp:positionV relativeFrom="page">
                  <wp:posOffset>647700</wp:posOffset>
                </wp:positionV>
                <wp:extent cx="2657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6E3D0" id="_x0000_t202" coordsize="21600,21600" o:spt="202" path="m,l,21600r21600,l21600,xe">
                <v:stroke joinstyle="miter"/>
                <v:path gradientshapeok="t" o:connecttype="rect"/>
              </v:shapetype>
              <v:shape id="Text Box 2" o:spid="_x0000_s1026" type="#_x0000_t202" style="position:absolute;left:0;text-align:left;margin-left:328.5pt;margin-top:51pt;width:20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" stroked="f">
                <v:textbox style="mso-fit-shape-to-text:t">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v:textbox>
                <w10:wrap anchory="page"/>
                <w10:anchorlock/>
              </v:shape>
            </w:pict>
          </mc:Fallback>
        </mc:AlternateContent>
      </w:r>
      <w:r w:rsidR="004D4EF5">
        <w:rPr>
          <w:noProof/>
          <w:lang w:eastAsia="en-US"/>
        </w:rPr>
        <w:drawing>
          <wp:anchor distT="0" distB="0" distL="114300" distR="114300" simplePos="0" relativeHeight="251660288" behindDoc="0" locked="0" layoutInCell="1" allowOverlap="1" wp14:anchorId="663D1D62" wp14:editId="519D2685">
            <wp:simplePos x="0" y="0"/>
            <wp:positionH relativeFrom="column">
              <wp:posOffset>1866900</wp:posOffset>
            </wp:positionH>
            <wp:positionV relativeFrom="paragraph">
              <wp:posOffset>7982585</wp:posOffset>
            </wp:positionV>
            <wp:extent cx="312420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U-FPB-black-logo.png"/>
                    <pic:cNvPicPr/>
                  </pic:nvPicPr>
                  <pic:blipFill>
                    <a:blip r:embed="rId8">
                      <a:extLst>
                        <a:ext uri="{28A0092B-C50C-407E-A947-70E740481C1C}">
                          <a14:useLocalDpi xmlns:a14="http://schemas.microsoft.com/office/drawing/2010/main" val="0"/>
                        </a:ext>
                      </a:extLst>
                    </a:blip>
                    <a:stretch>
                      <a:fillRect/>
                    </a:stretch>
                  </pic:blipFill>
                  <pic:spPr>
                    <a:xfrm>
                      <a:off x="0" y="0"/>
                      <a:ext cx="3124200" cy="790575"/>
                    </a:xfrm>
                    <a:prstGeom prst="rect">
                      <a:avLst/>
                    </a:prstGeom>
                  </pic:spPr>
                </pic:pic>
              </a:graphicData>
            </a:graphic>
            <wp14:sizeRelH relativeFrom="page">
              <wp14:pctWidth>0</wp14:pctWidth>
            </wp14:sizeRelH>
            <wp14:sizeRelV relativeFrom="page">
              <wp14:pctHeight>0</wp14:pctHeight>
            </wp14:sizeRelV>
          </wp:anchor>
        </w:drawing>
      </w:r>
    </w:p>
    <w:sectPr w:rsidR="00004517" w:rsidSect="001E7BC1">
      <w:headerReference w:type="even" r:id="rId9"/>
      <w:headerReference w:type="default" r:id="rId10"/>
      <w:head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270" w:rsidRDefault="00C73270" w:rsidP="004D4EF5">
      <w:pPr>
        <w:spacing w:after="0" w:line="240" w:lineRule="auto"/>
      </w:pPr>
      <w:r>
        <w:separator/>
      </w:r>
    </w:p>
  </w:endnote>
  <w:endnote w:type="continuationSeparator" w:id="0">
    <w:p w:rsidR="00C73270" w:rsidRDefault="00C73270" w:rsidP="004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tilliumMaps26L">
    <w:altName w:val="Arial"/>
    <w:panose1 w:val="00000000000000000000"/>
    <w:charset w:val="00"/>
    <w:family w:val="modern"/>
    <w:notTrueType/>
    <w:pitch w:val="variable"/>
    <w:sig w:usb0="A00000EF" w:usb1="0000204B"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270" w:rsidRDefault="00C73270" w:rsidP="004D4EF5">
      <w:pPr>
        <w:spacing w:after="0" w:line="240" w:lineRule="auto"/>
      </w:pPr>
      <w:r>
        <w:separator/>
      </w:r>
    </w:p>
  </w:footnote>
  <w:footnote w:type="continuationSeparator" w:id="0">
    <w:p w:rsidR="00C73270" w:rsidRDefault="00C73270" w:rsidP="004D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FA09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9" o:spid="_x0000_s2053" type="#_x0000_t75" style="position:absolute;margin-left:0;margin-top:0;width:539.95pt;height:719.95pt;z-index:-251657216;mso-position-horizontal:center;mso-position-horizontal-relative:margin;mso-position-vertical:center;mso-position-vertical-relative:margin" o:allowincell="f">
          <v:imagedata r:id="rId1" o:title="open frame with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FA09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000" o:spid="_x0000_s2054" type="#_x0000_t75" style="position:absolute;margin-left:0;margin-top:0;width:539.95pt;height:719.95pt;z-index:-251656192;mso-position-horizontal:center;mso-position-horizontal-relative:margin;mso-position-vertical:center;mso-position-vertical-relative:margin" o:allowincell="f">
          <v:imagedata r:id="rId1" o:title="open frame with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FA09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8" o:spid="_x0000_s2052" type="#_x0000_t75" style="position:absolute;margin-left:0;margin-top:0;width:539.95pt;height:719.95pt;z-index:-251658240;mso-position-horizontal:center;mso-position-horizontal-relative:margin;mso-position-vertical:center;mso-position-vertical-relative:margin" o:allowincell="f">
          <v:imagedata r:id="rId1" o:title="open frame with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2219"/>
    <w:multiLevelType w:val="hybridMultilevel"/>
    <w:tmpl w:val="929E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6061A"/>
    <w:multiLevelType w:val="hybridMultilevel"/>
    <w:tmpl w:val="0D908BE4"/>
    <w:lvl w:ilvl="0" w:tplc="87A0706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D9F239A"/>
    <w:multiLevelType w:val="hybridMultilevel"/>
    <w:tmpl w:val="E668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14A60"/>
    <w:multiLevelType w:val="hybridMultilevel"/>
    <w:tmpl w:val="8B5265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407C73"/>
    <w:multiLevelType w:val="hybridMultilevel"/>
    <w:tmpl w:val="5270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A0"/>
    <w:rsid w:val="00004517"/>
    <w:rsid w:val="001E7BC1"/>
    <w:rsid w:val="001F40BF"/>
    <w:rsid w:val="002360BB"/>
    <w:rsid w:val="0027713A"/>
    <w:rsid w:val="002F0F3A"/>
    <w:rsid w:val="00342FA0"/>
    <w:rsid w:val="00355979"/>
    <w:rsid w:val="003917AD"/>
    <w:rsid w:val="00421129"/>
    <w:rsid w:val="004D4EF5"/>
    <w:rsid w:val="004F2753"/>
    <w:rsid w:val="00740F5A"/>
    <w:rsid w:val="00742C94"/>
    <w:rsid w:val="007A02F5"/>
    <w:rsid w:val="008135DC"/>
    <w:rsid w:val="008A6871"/>
    <w:rsid w:val="008E0572"/>
    <w:rsid w:val="00904FCE"/>
    <w:rsid w:val="00973ADE"/>
    <w:rsid w:val="00992C67"/>
    <w:rsid w:val="00C73270"/>
    <w:rsid w:val="00CA1C14"/>
    <w:rsid w:val="00CB08F8"/>
    <w:rsid w:val="00CB26B3"/>
    <w:rsid w:val="00CD7345"/>
    <w:rsid w:val="00DC4971"/>
    <w:rsid w:val="00E873A2"/>
    <w:rsid w:val="00FA09DA"/>
    <w:rsid w:val="00FB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252AAB7-A7B8-4B3E-9742-F31FF840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7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CE"/>
    <w:rPr>
      <w:rFonts w:ascii="Tahoma" w:hAnsi="Tahoma" w:cs="Tahoma"/>
      <w:sz w:val="16"/>
      <w:szCs w:val="16"/>
    </w:rPr>
  </w:style>
  <w:style w:type="paragraph" w:styleId="Header">
    <w:name w:val="header"/>
    <w:basedOn w:val="Normal"/>
    <w:link w:val="HeaderChar"/>
    <w:uiPriority w:val="99"/>
    <w:unhideWhenUsed/>
    <w:rsid w:val="004D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F5"/>
  </w:style>
  <w:style w:type="paragraph" w:styleId="Footer">
    <w:name w:val="footer"/>
    <w:basedOn w:val="Normal"/>
    <w:link w:val="FooterChar"/>
    <w:uiPriority w:val="99"/>
    <w:unhideWhenUsed/>
    <w:rsid w:val="004D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F5"/>
  </w:style>
  <w:style w:type="paragraph" w:styleId="BodyText">
    <w:name w:val="Body Text"/>
    <w:basedOn w:val="Normal"/>
    <w:link w:val="BodyTextChar"/>
    <w:rsid w:val="001E7BC1"/>
    <w:pPr>
      <w:widowControl w:val="0"/>
      <w:spacing w:after="0" w:line="240" w:lineRule="auto"/>
      <w:jc w:val="both"/>
    </w:pPr>
    <w:rPr>
      <w:rFonts w:ascii="CG Times" w:eastAsia="Times New Roman" w:hAnsi="CG Times" w:cs="Times New Roman"/>
      <w:sz w:val="24"/>
      <w:szCs w:val="20"/>
      <w:lang w:eastAsia="en-US"/>
    </w:rPr>
  </w:style>
  <w:style w:type="character" w:customStyle="1" w:styleId="BodyTextChar">
    <w:name w:val="Body Text Char"/>
    <w:basedOn w:val="DefaultParagraphFont"/>
    <w:link w:val="BodyText"/>
    <w:rsid w:val="001E7BC1"/>
    <w:rPr>
      <w:rFonts w:ascii="CG Times" w:eastAsia="Times New Roman" w:hAnsi="CG Times" w:cs="Times New Roman"/>
      <w:sz w:val="24"/>
      <w:szCs w:val="20"/>
      <w:lang w:eastAsia="en-US"/>
    </w:rPr>
  </w:style>
  <w:style w:type="character" w:customStyle="1" w:styleId="Heading1Char">
    <w:name w:val="Heading 1 Char"/>
    <w:basedOn w:val="DefaultParagraphFont"/>
    <w:link w:val="Heading1"/>
    <w:uiPriority w:val="9"/>
    <w:rsid w:val="001E7BC1"/>
    <w:rPr>
      <w:rFonts w:asciiTheme="majorHAnsi" w:eastAsiaTheme="majorEastAsia" w:hAnsiTheme="majorHAnsi" w:cstheme="majorBidi"/>
      <w:b/>
      <w:bCs/>
      <w:color w:val="365F91" w:themeColor="accent1" w:themeShade="BF"/>
      <w:sz w:val="28"/>
      <w:szCs w:val="28"/>
    </w:rPr>
  </w:style>
  <w:style w:type="character" w:styleId="Hyperlink">
    <w:name w:val="Hyperlink"/>
    <w:rsid w:val="001E7BC1"/>
    <w:rPr>
      <w:color w:val="0000FF"/>
      <w:u w:val="single"/>
    </w:rPr>
  </w:style>
  <w:style w:type="paragraph" w:styleId="ListParagraph">
    <w:name w:val="List Paragraph"/>
    <w:basedOn w:val="Normal"/>
    <w:uiPriority w:val="34"/>
    <w:qFormat/>
    <w:rsid w:val="001E7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19\Downloads\FPBLetterhea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4044-01B1-4706-86AF-3505CA34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FPBLetterhead2010</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Franklin</dc:creator>
  <cp:lastModifiedBy>Kimberly Cornuelle</cp:lastModifiedBy>
  <cp:revision>2</cp:revision>
  <dcterms:created xsi:type="dcterms:W3CDTF">2013-11-04T18:32:00Z</dcterms:created>
  <dcterms:modified xsi:type="dcterms:W3CDTF">2013-11-04T18:32:00Z</dcterms:modified>
</cp:coreProperties>
</file>