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BF" w:rsidRDefault="001164BF">
      <w:pPr>
        <w:pStyle w:val="Heading1"/>
        <w:spacing w:after="0"/>
        <w:ind w:left="360"/>
        <w:jc w:val="left"/>
        <w:rPr>
          <w:rFonts w:ascii="Garamond" w:hAnsi="Garamond"/>
          <w:color w:val="000080"/>
          <w:sz w:val="22"/>
        </w:rPr>
      </w:pPr>
      <w:bookmarkStart w:id="0" w:name="_GoBack"/>
      <w:bookmarkEnd w:id="0"/>
      <w:r>
        <w:rPr>
          <w:rFonts w:ascii="Garamond" w:hAnsi="Garamond"/>
          <w:color w:val="000080"/>
          <w:sz w:val="22"/>
        </w:rPr>
        <w:t>Reorganization Request Guide</w:t>
      </w:r>
    </w:p>
    <w:p w:rsidR="001164BF" w:rsidRDefault="001164BF">
      <w:pPr>
        <w:ind w:left="360"/>
        <w:rPr>
          <w:rFonts w:ascii="Garamond" w:hAnsi="Garamond"/>
        </w:rPr>
      </w:pPr>
      <w:r>
        <w:rPr>
          <w:rFonts w:ascii="Garamond" w:hAnsi="Garamond"/>
        </w:rPr>
        <w:t>(To be completed by department manager/supervisor)</w:t>
      </w:r>
    </w:p>
    <w:p w:rsidR="001164BF" w:rsidRDefault="001164BF">
      <w:pPr>
        <w:ind w:left="360"/>
        <w:rPr>
          <w:rFonts w:ascii="Garamond" w:hAnsi="Garamond"/>
        </w:rPr>
      </w:pPr>
    </w:p>
    <w:tbl>
      <w:tblPr>
        <w:tblW w:w="0" w:type="auto"/>
        <w:tblInd w:w="360" w:type="dxa"/>
        <w:tblLayout w:type="fixed"/>
        <w:tblLook w:val="0000" w:firstRow="0" w:lastRow="0" w:firstColumn="0" w:lastColumn="0" w:noHBand="0" w:noVBand="0"/>
      </w:tblPr>
      <w:tblGrid>
        <w:gridCol w:w="1638"/>
        <w:gridCol w:w="3240"/>
        <w:gridCol w:w="1530"/>
        <w:gridCol w:w="3168"/>
      </w:tblGrid>
      <w:tr w:rsidR="001164BF">
        <w:tblPrEx>
          <w:tblCellMar>
            <w:top w:w="0" w:type="dxa"/>
            <w:bottom w:w="0" w:type="dxa"/>
          </w:tblCellMar>
        </w:tblPrEx>
        <w:trPr>
          <w:trHeight w:val="675"/>
        </w:trPr>
        <w:tc>
          <w:tcPr>
            <w:tcW w:w="1638" w:type="dxa"/>
          </w:tcPr>
          <w:p w:rsidR="001164BF" w:rsidRDefault="001164BF">
            <w:pPr>
              <w:rPr>
                <w:rFonts w:ascii="Garamond" w:hAnsi="Garamond"/>
                <w:b/>
                <w:sz w:val="22"/>
              </w:rPr>
            </w:pPr>
            <w:r>
              <w:rPr>
                <w:rFonts w:ascii="Garamond" w:hAnsi="Garamond"/>
                <w:b/>
                <w:sz w:val="22"/>
              </w:rPr>
              <w:t>Manager/</w:t>
            </w:r>
          </w:p>
          <w:p w:rsidR="001164BF" w:rsidRDefault="001164BF">
            <w:pPr>
              <w:rPr>
                <w:rFonts w:ascii="Garamond" w:hAnsi="Garamond"/>
                <w:sz w:val="22"/>
              </w:rPr>
            </w:pPr>
            <w:r>
              <w:rPr>
                <w:rFonts w:ascii="Garamond" w:hAnsi="Garamond"/>
                <w:b/>
                <w:sz w:val="22"/>
              </w:rPr>
              <w:t>Supervisor Name</w:t>
            </w:r>
            <w:r>
              <w:rPr>
                <w:rFonts w:ascii="Garamond" w:hAnsi="Garamond"/>
                <w:sz w:val="22"/>
              </w:rPr>
              <w:t>:</w:t>
            </w:r>
          </w:p>
        </w:tc>
        <w:tc>
          <w:tcPr>
            <w:tcW w:w="3240" w:type="dxa"/>
            <w:tcBorders>
              <w:bottom w:val="single" w:sz="4" w:space="0" w:color="auto"/>
            </w:tcBorders>
          </w:tcPr>
          <w:p w:rsidR="001164BF" w:rsidRDefault="001164BF">
            <w:pPr>
              <w:rPr>
                <w:rFonts w:ascii="Garamond" w:hAnsi="Garamond"/>
              </w:rPr>
            </w:pPr>
          </w:p>
          <w:p w:rsidR="001164BF" w:rsidRDefault="001164BF">
            <w:pPr>
              <w:rPr>
                <w:rFonts w:ascii="Garamond" w:hAnsi="Garamond"/>
              </w:rPr>
            </w:pPr>
          </w:p>
        </w:tc>
        <w:tc>
          <w:tcPr>
            <w:tcW w:w="1530" w:type="dxa"/>
          </w:tcPr>
          <w:p w:rsidR="001164BF" w:rsidRDefault="001164BF">
            <w:pPr>
              <w:rPr>
                <w:rFonts w:ascii="Garamond" w:hAnsi="Garamond"/>
                <w:b/>
                <w:bCs/>
              </w:rPr>
            </w:pPr>
          </w:p>
          <w:p w:rsidR="001164BF" w:rsidRDefault="001164BF">
            <w:pPr>
              <w:rPr>
                <w:rFonts w:ascii="Garamond" w:hAnsi="Garamond"/>
                <w:b/>
                <w:bCs/>
              </w:rPr>
            </w:pPr>
          </w:p>
          <w:p w:rsidR="001164BF" w:rsidRDefault="001164BF">
            <w:pPr>
              <w:rPr>
                <w:rFonts w:ascii="Garamond" w:hAnsi="Garamond"/>
                <w:b/>
                <w:bCs/>
              </w:rPr>
            </w:pPr>
            <w:r>
              <w:rPr>
                <w:rFonts w:ascii="Garamond" w:hAnsi="Garamond"/>
                <w:b/>
                <w:bCs/>
              </w:rPr>
              <w:t>Department:</w:t>
            </w:r>
          </w:p>
        </w:tc>
        <w:tc>
          <w:tcPr>
            <w:tcW w:w="3168" w:type="dxa"/>
            <w:tcBorders>
              <w:bottom w:val="single" w:sz="4" w:space="0" w:color="auto"/>
            </w:tcBorders>
          </w:tcPr>
          <w:p w:rsidR="001164BF" w:rsidRDefault="001164BF">
            <w:pPr>
              <w:rPr>
                <w:rFonts w:ascii="Garamond" w:hAnsi="Garamond"/>
              </w:rPr>
            </w:pPr>
          </w:p>
        </w:tc>
      </w:tr>
      <w:tr w:rsidR="001164BF">
        <w:tblPrEx>
          <w:tblCellMar>
            <w:top w:w="0" w:type="dxa"/>
            <w:bottom w:w="0" w:type="dxa"/>
          </w:tblCellMar>
        </w:tblPrEx>
        <w:trPr>
          <w:trHeight w:val="575"/>
        </w:trPr>
        <w:tc>
          <w:tcPr>
            <w:tcW w:w="1638" w:type="dxa"/>
          </w:tcPr>
          <w:p w:rsidR="001164BF" w:rsidRDefault="001164BF">
            <w:pPr>
              <w:rPr>
                <w:rFonts w:ascii="Garamond" w:hAnsi="Garamond"/>
              </w:rPr>
            </w:pPr>
          </w:p>
          <w:p w:rsidR="001164BF" w:rsidRDefault="001164BF">
            <w:pPr>
              <w:rPr>
                <w:rFonts w:ascii="Garamond" w:hAnsi="Garamond"/>
              </w:rPr>
            </w:pPr>
          </w:p>
          <w:p w:rsidR="001164BF" w:rsidRDefault="001164BF">
            <w:pPr>
              <w:rPr>
                <w:rFonts w:ascii="Garamond" w:hAnsi="Garamond"/>
              </w:rPr>
            </w:pPr>
            <w:r>
              <w:rPr>
                <w:rFonts w:ascii="Garamond" w:hAnsi="Garamond"/>
              </w:rPr>
              <w:t>Office Phone:</w:t>
            </w:r>
          </w:p>
        </w:tc>
        <w:tc>
          <w:tcPr>
            <w:tcW w:w="3240" w:type="dxa"/>
            <w:tcBorders>
              <w:top w:val="single" w:sz="4" w:space="0" w:color="auto"/>
              <w:bottom w:val="single" w:sz="4" w:space="0" w:color="auto"/>
            </w:tcBorders>
          </w:tcPr>
          <w:p w:rsidR="001164BF" w:rsidRDefault="001164BF">
            <w:pPr>
              <w:rPr>
                <w:rFonts w:ascii="Garamond" w:hAnsi="Garamond"/>
                <w:sz w:val="16"/>
              </w:rPr>
            </w:pPr>
            <w:r>
              <w:rPr>
                <w:rFonts w:ascii="Garamond" w:hAnsi="Garamond"/>
                <w:sz w:val="16"/>
              </w:rPr>
              <w:t>Signature</w:t>
            </w:r>
          </w:p>
          <w:p w:rsidR="001164BF" w:rsidRDefault="001164BF">
            <w:pPr>
              <w:rPr>
                <w:rFonts w:ascii="Garamond" w:hAnsi="Garamond"/>
              </w:rPr>
            </w:pPr>
          </w:p>
        </w:tc>
        <w:tc>
          <w:tcPr>
            <w:tcW w:w="1530" w:type="dxa"/>
          </w:tcPr>
          <w:p w:rsidR="001164BF" w:rsidRDefault="001164BF">
            <w:pPr>
              <w:rPr>
                <w:rFonts w:ascii="Garamond" w:hAnsi="Garamond"/>
              </w:rPr>
            </w:pPr>
          </w:p>
        </w:tc>
        <w:tc>
          <w:tcPr>
            <w:tcW w:w="3168" w:type="dxa"/>
            <w:tcBorders>
              <w:top w:val="single" w:sz="4" w:space="0" w:color="auto"/>
            </w:tcBorders>
          </w:tcPr>
          <w:p w:rsidR="001164BF" w:rsidRDefault="001164BF">
            <w:pPr>
              <w:rPr>
                <w:rFonts w:ascii="Garamond" w:hAnsi="Garamond"/>
              </w:rPr>
            </w:pPr>
          </w:p>
        </w:tc>
      </w:tr>
    </w:tbl>
    <w:p w:rsidR="001164BF" w:rsidRDefault="001164BF">
      <w:pPr>
        <w:ind w:left="360"/>
        <w:jc w:val="both"/>
        <w:rPr>
          <w:rFonts w:ascii="Garamond" w:hAnsi="Garamond"/>
          <w:sz w:val="26"/>
        </w:rPr>
      </w:pP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 xml:space="preserve">Why is this reorganization necessary? Please be as specific as possible. Attach a </w:t>
      </w:r>
      <w:r>
        <w:rPr>
          <w:rFonts w:ascii="Garamond" w:hAnsi="Garamond"/>
          <w:b/>
          <w:bCs/>
          <w:sz w:val="26"/>
        </w:rPr>
        <w:t>detailed business plan</w:t>
      </w:r>
      <w:r>
        <w:rPr>
          <w:rFonts w:ascii="Garamond" w:hAnsi="Garamond"/>
          <w:sz w:val="26"/>
        </w:rPr>
        <w:t>.</w:t>
      </w:r>
    </w:p>
    <w:p w:rsidR="001164BF" w:rsidRDefault="001164BF">
      <w:pPr>
        <w:tabs>
          <w:tab w:val="num" w:pos="720"/>
        </w:tabs>
        <w:ind w:left="720"/>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What other steps have been considered or taken as an alternative to reorganization?</w:t>
      </w:r>
    </w:p>
    <w:p w:rsidR="001164BF" w:rsidRDefault="001164BF">
      <w:pPr>
        <w:tabs>
          <w:tab w:val="num" w:pos="720"/>
        </w:tabs>
        <w:ind w:left="720"/>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 xml:space="preserve">Please describe the changes you would like to make and why they will meet your needs. Attach both a </w:t>
      </w:r>
      <w:r>
        <w:rPr>
          <w:rFonts w:ascii="Garamond" w:hAnsi="Garamond"/>
          <w:b/>
          <w:bCs/>
          <w:sz w:val="26"/>
        </w:rPr>
        <w:t>current organization chart</w:t>
      </w:r>
      <w:r>
        <w:rPr>
          <w:rFonts w:ascii="Garamond" w:hAnsi="Garamond"/>
          <w:sz w:val="26"/>
        </w:rPr>
        <w:t xml:space="preserve"> and a </w:t>
      </w:r>
      <w:r>
        <w:rPr>
          <w:rFonts w:ascii="Garamond" w:hAnsi="Garamond"/>
          <w:b/>
          <w:bCs/>
          <w:sz w:val="26"/>
        </w:rPr>
        <w:t>new organization chart</w:t>
      </w:r>
      <w:r>
        <w:rPr>
          <w:rFonts w:ascii="Garamond" w:hAnsi="Garamond"/>
          <w:sz w:val="26"/>
        </w:rPr>
        <w:t xml:space="preserve"> to help illustrate the proposed changes. For any positions that are changing </w:t>
      </w:r>
      <w:r>
        <w:rPr>
          <w:rFonts w:ascii="Garamond" w:hAnsi="Garamond"/>
          <w:b/>
          <w:bCs/>
          <w:sz w:val="26"/>
        </w:rPr>
        <w:t>new job descriptions</w:t>
      </w:r>
      <w:r>
        <w:rPr>
          <w:rFonts w:ascii="Garamond" w:hAnsi="Garamond"/>
          <w:sz w:val="26"/>
        </w:rPr>
        <w:t xml:space="preserve"> are required. Please note:  Human Resources evaluates proposed job descriptions to rate in accordance with internal salary guidelines, external market data, and to determine if the position(s) requires posting.  </w:t>
      </w:r>
    </w:p>
    <w:p w:rsidR="001164BF" w:rsidRDefault="001164BF">
      <w:pPr>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pStyle w:val="BodyTextIndent"/>
        <w:numPr>
          <w:ilvl w:val="0"/>
          <w:numId w:val="1"/>
        </w:numPr>
        <w:tabs>
          <w:tab w:val="clear" w:pos="360"/>
          <w:tab w:val="num" w:pos="720"/>
        </w:tabs>
        <w:ind w:left="720"/>
        <w:jc w:val="both"/>
        <w:rPr>
          <w:rFonts w:ascii="Garamond" w:hAnsi="Garamond"/>
          <w:sz w:val="26"/>
        </w:rPr>
      </w:pPr>
      <w:r>
        <w:rPr>
          <w:rFonts w:ascii="Garamond" w:hAnsi="Garamond"/>
          <w:sz w:val="26"/>
        </w:rPr>
        <w:t>What financial impact will this reorganization have? If Full-time equivalencies (FTE’s) increase, you are responsible for coordinating with the budget office and obtaining approval, if necessary.</w:t>
      </w:r>
    </w:p>
    <w:p w:rsidR="001164BF" w:rsidRDefault="001164BF">
      <w:pPr>
        <w:tabs>
          <w:tab w:val="num" w:pos="720"/>
        </w:tabs>
        <w:ind w:left="720"/>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pStyle w:val="BodyTextIndent"/>
        <w:numPr>
          <w:ilvl w:val="0"/>
          <w:numId w:val="1"/>
        </w:numPr>
        <w:tabs>
          <w:tab w:val="clear" w:pos="360"/>
          <w:tab w:val="num" w:pos="720"/>
        </w:tabs>
        <w:ind w:left="720"/>
        <w:jc w:val="both"/>
        <w:rPr>
          <w:rFonts w:ascii="Garamond" w:hAnsi="Garamond"/>
          <w:sz w:val="26"/>
        </w:rPr>
      </w:pPr>
      <w:r>
        <w:rPr>
          <w:rFonts w:ascii="Garamond" w:hAnsi="Garamond"/>
          <w:sz w:val="26"/>
        </w:rPr>
        <w:t xml:space="preserve">Will this reorganization result in elimination of positions? If “yes,” provide </w:t>
      </w:r>
      <w:r>
        <w:rPr>
          <w:rFonts w:ascii="Garamond" w:hAnsi="Garamond"/>
          <w:b/>
          <w:bCs/>
          <w:sz w:val="26"/>
        </w:rPr>
        <w:t>a roster</w:t>
      </w:r>
      <w:r>
        <w:rPr>
          <w:rFonts w:ascii="Garamond" w:hAnsi="Garamond"/>
          <w:sz w:val="26"/>
        </w:rPr>
        <w:t xml:space="preserve"> highlighting all affected employees (includes those jobs that are changing or are being eliminated). Include an explanation for how and why each highlighted employee is being affected.  Include an explanation of who will assume the duties of any position that is eliminated.</w:t>
      </w:r>
    </w:p>
    <w:p w:rsidR="001164BF" w:rsidRDefault="001164BF">
      <w:pPr>
        <w:tabs>
          <w:tab w:val="num" w:pos="720"/>
        </w:tabs>
        <w:ind w:left="720"/>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tabs>
          <w:tab w:val="num" w:pos="720"/>
        </w:tabs>
        <w:ind w:left="720"/>
        <w:jc w:val="both"/>
        <w:rPr>
          <w:rFonts w:ascii="Garamond" w:hAnsi="Garamond"/>
          <w:sz w:val="26"/>
        </w:rPr>
      </w:pP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Are you currently utilizing temporary employees or students? If “yes,” provide details.</w:t>
      </w:r>
    </w:p>
    <w:p w:rsidR="001164BF" w:rsidRDefault="001164BF">
      <w:pPr>
        <w:tabs>
          <w:tab w:val="num" w:pos="720"/>
        </w:tabs>
        <w:ind w:left="720"/>
        <w:jc w:val="both"/>
        <w:rPr>
          <w:rFonts w:ascii="Garamond" w:hAnsi="Garamond"/>
          <w:sz w:val="26"/>
        </w:rPr>
      </w:pPr>
      <w:r>
        <w:rPr>
          <w:rFonts w:ascii="Garamond" w:hAnsi="Garamond"/>
          <w:sz w:val="26"/>
        </w:rPr>
        <w:br w:type="page"/>
      </w: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Effective date for planned reorganization</w:t>
      </w:r>
      <w:r w:rsidR="00216E30">
        <w:rPr>
          <w:rFonts w:ascii="Garamond" w:hAnsi="Garamond"/>
          <w:sz w:val="26"/>
        </w:rPr>
        <w:t>.  Why was this date chosen?</w:t>
      </w: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numPr>
          <w:ilvl w:val="0"/>
          <w:numId w:val="1"/>
        </w:numPr>
        <w:tabs>
          <w:tab w:val="clear" w:pos="360"/>
          <w:tab w:val="num" w:pos="720"/>
        </w:tabs>
        <w:ind w:left="720"/>
        <w:jc w:val="both"/>
        <w:rPr>
          <w:rFonts w:ascii="Garamond" w:hAnsi="Garamond"/>
          <w:sz w:val="26"/>
          <w:szCs w:val="24"/>
        </w:rPr>
      </w:pPr>
      <w:r>
        <w:rPr>
          <w:rFonts w:ascii="Garamond" w:hAnsi="Garamond"/>
          <w:sz w:val="26"/>
        </w:rPr>
        <w:t xml:space="preserve">Please set out a communication plan for providing notice of the reorganization.  </w:t>
      </w:r>
      <w:r>
        <w:rPr>
          <w:rFonts w:ascii="Garamond" w:hAnsi="Garamond"/>
          <w:sz w:val="26"/>
          <w:szCs w:val="24"/>
        </w:rPr>
        <w:t>The plan should include communications with the affected employee(s), the department and, if needed, the campus community. If a reorganization results in the elimination of more than three (3) positions the communication plan will have to be reviewed by</w:t>
      </w:r>
      <w:r>
        <w:rPr>
          <w:rFonts w:ascii="Garamond" w:hAnsi="Garamond"/>
          <w:b/>
          <w:sz w:val="26"/>
          <w:szCs w:val="24"/>
        </w:rPr>
        <w:t xml:space="preserve"> </w:t>
      </w:r>
      <w:r w:rsidR="000D76D0">
        <w:rPr>
          <w:rFonts w:ascii="Garamond" w:hAnsi="Garamond"/>
          <w:b/>
          <w:sz w:val="26"/>
          <w:szCs w:val="24"/>
        </w:rPr>
        <w:t xml:space="preserve">Senior </w:t>
      </w:r>
      <w:r w:rsidR="001A547B">
        <w:rPr>
          <w:rFonts w:ascii="Garamond" w:hAnsi="Garamond"/>
          <w:b/>
          <w:sz w:val="26"/>
          <w:szCs w:val="24"/>
        </w:rPr>
        <w:t xml:space="preserve">Vice President </w:t>
      </w:r>
      <w:r w:rsidR="000D76D0">
        <w:rPr>
          <w:rFonts w:ascii="Garamond" w:hAnsi="Garamond"/>
          <w:b/>
          <w:sz w:val="26"/>
          <w:szCs w:val="24"/>
        </w:rPr>
        <w:t>of</w:t>
      </w:r>
      <w:r w:rsidR="001A547B">
        <w:rPr>
          <w:rFonts w:ascii="Garamond" w:hAnsi="Garamond"/>
          <w:b/>
          <w:sz w:val="26"/>
          <w:szCs w:val="24"/>
        </w:rPr>
        <w:t xml:space="preserve"> Administration</w:t>
      </w:r>
      <w:r>
        <w:rPr>
          <w:rFonts w:ascii="Garamond" w:hAnsi="Garamond"/>
          <w:sz w:val="26"/>
          <w:szCs w:val="24"/>
        </w:rPr>
        <w:t xml:space="preserve"> and the </w:t>
      </w:r>
      <w:r>
        <w:rPr>
          <w:rFonts w:ascii="Garamond" w:hAnsi="Garamond"/>
          <w:b/>
          <w:sz w:val="26"/>
          <w:szCs w:val="24"/>
        </w:rPr>
        <w:t>Associate Vice President of Marketing and Communications</w:t>
      </w:r>
      <w:r>
        <w:rPr>
          <w:rFonts w:ascii="Garamond" w:hAnsi="Garamond"/>
          <w:sz w:val="26"/>
          <w:szCs w:val="24"/>
        </w:rPr>
        <w:t xml:space="preserve">. </w:t>
      </w:r>
      <w:r>
        <w:rPr>
          <w:rFonts w:ascii="Garamond" w:hAnsi="Garamond"/>
          <w:sz w:val="26"/>
        </w:rPr>
        <w:t xml:space="preserve">In addition, </w:t>
      </w:r>
      <w:r>
        <w:rPr>
          <w:rFonts w:ascii="Garamond" w:hAnsi="Garamond"/>
          <w:b/>
          <w:bCs/>
          <w:sz w:val="26"/>
        </w:rPr>
        <w:t>a letter of notice</w:t>
      </w:r>
      <w:r>
        <w:rPr>
          <w:rFonts w:ascii="Garamond" w:hAnsi="Garamond"/>
          <w:sz w:val="26"/>
        </w:rPr>
        <w:t xml:space="preserve">, which may include a severance arrangement, should be attached and will be reviewed by Employee Relations and the Office of General </w:t>
      </w:r>
      <w:r>
        <w:rPr>
          <w:rFonts w:ascii="Garamond" w:hAnsi="Garamond"/>
          <w:sz w:val="26"/>
          <w:szCs w:val="24"/>
        </w:rPr>
        <w:t>Counsel.</w:t>
      </w:r>
    </w:p>
    <w:p w:rsidR="001164BF" w:rsidRDefault="001164BF">
      <w:pPr>
        <w:ind w:left="720"/>
        <w:jc w:val="both"/>
        <w:rPr>
          <w:rFonts w:ascii="Garamond" w:hAnsi="Garamond"/>
          <w:sz w:val="26"/>
          <w:szCs w:val="24"/>
        </w:rPr>
      </w:pPr>
    </w:p>
    <w:p w:rsidR="001164BF" w:rsidRDefault="001164BF">
      <w:pPr>
        <w:ind w:left="720"/>
        <w:jc w:val="both"/>
        <w:rPr>
          <w:rFonts w:ascii="Garamond" w:hAnsi="Garamond"/>
          <w:sz w:val="26"/>
          <w:szCs w:val="24"/>
        </w:rPr>
      </w:pPr>
    </w:p>
    <w:p w:rsidR="001164BF" w:rsidRDefault="001164BF">
      <w:pPr>
        <w:numPr>
          <w:ilvl w:val="0"/>
          <w:numId w:val="1"/>
        </w:numPr>
        <w:tabs>
          <w:tab w:val="clear" w:pos="360"/>
          <w:tab w:val="num" w:pos="720"/>
        </w:tabs>
        <w:ind w:left="720"/>
        <w:jc w:val="both"/>
        <w:rPr>
          <w:rFonts w:ascii="Garamond" w:hAnsi="Garamond"/>
          <w:sz w:val="26"/>
        </w:rPr>
      </w:pPr>
      <w:r>
        <w:rPr>
          <w:rFonts w:ascii="Garamond" w:hAnsi="Garamond"/>
          <w:sz w:val="26"/>
        </w:rPr>
        <w:t xml:space="preserve">Please discuss with Employee Relations any individual employee work-related concerns (disability accommodations, workers’ compensation claims, performance problems, employee generated workplace complaints, etc.).  Human Resources will review the business plan, organization charts, position descriptions, possible employee workplace concerns, notice letters and/or other significant dynamics.  Once Human Resources has completed its review, the reorganization information will be forwarded to the Office of General Counsel for review. </w:t>
      </w: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p w:rsidR="001164BF" w:rsidRDefault="001164BF">
      <w:pPr>
        <w:jc w:val="both"/>
        <w:rPr>
          <w:rFonts w:ascii="Garamond" w:hAnsi="Garamond"/>
          <w:sz w:val="26"/>
        </w:rPr>
      </w:pPr>
    </w:p>
    <w:tbl>
      <w:tblPr>
        <w:tblW w:w="0" w:type="auto"/>
        <w:tblInd w:w="360" w:type="dxa"/>
        <w:tblBorders>
          <w:bottom w:val="single" w:sz="4" w:space="0" w:color="auto"/>
        </w:tblBorders>
        <w:tblLayout w:type="fixed"/>
        <w:tblLook w:val="0000" w:firstRow="0" w:lastRow="0" w:firstColumn="0" w:lastColumn="0" w:noHBand="0" w:noVBand="0"/>
      </w:tblPr>
      <w:tblGrid>
        <w:gridCol w:w="1818"/>
        <w:gridCol w:w="4500"/>
        <w:gridCol w:w="3258"/>
      </w:tblGrid>
      <w:tr w:rsidR="001164BF">
        <w:tblPrEx>
          <w:tblCellMar>
            <w:top w:w="0" w:type="dxa"/>
            <w:bottom w:w="0" w:type="dxa"/>
          </w:tblCellMar>
        </w:tblPrEx>
        <w:trPr>
          <w:cantSplit/>
        </w:trPr>
        <w:tc>
          <w:tcPr>
            <w:tcW w:w="1818" w:type="dxa"/>
          </w:tcPr>
          <w:p w:rsidR="001164BF" w:rsidRDefault="001164BF">
            <w:pPr>
              <w:rPr>
                <w:rFonts w:ascii="Garamond" w:hAnsi="Garamond"/>
              </w:rPr>
            </w:pPr>
          </w:p>
          <w:p w:rsidR="001164BF" w:rsidRDefault="001164BF">
            <w:pPr>
              <w:rPr>
                <w:rFonts w:ascii="Garamond" w:hAnsi="Garamond"/>
                <w:b/>
              </w:rPr>
            </w:pPr>
            <w:r>
              <w:rPr>
                <w:rFonts w:ascii="Garamond" w:hAnsi="Garamond"/>
                <w:b/>
              </w:rPr>
              <w:t>Department Head Approval:</w:t>
            </w:r>
          </w:p>
        </w:tc>
        <w:tc>
          <w:tcPr>
            <w:tcW w:w="4500" w:type="dxa"/>
          </w:tcPr>
          <w:p w:rsidR="001164BF" w:rsidRDefault="001164BF">
            <w:pPr>
              <w:rPr>
                <w:rFonts w:ascii="Garamond" w:hAnsi="Garamond"/>
              </w:rPr>
            </w:pPr>
          </w:p>
          <w:p w:rsidR="001164BF" w:rsidRDefault="001164BF">
            <w:pPr>
              <w:rPr>
                <w:rFonts w:ascii="Garamond" w:hAnsi="Garamond"/>
              </w:rPr>
            </w:pPr>
          </w:p>
        </w:tc>
        <w:tc>
          <w:tcPr>
            <w:tcW w:w="3258" w:type="dxa"/>
          </w:tcPr>
          <w:p w:rsidR="001164BF" w:rsidRDefault="001164BF">
            <w:pPr>
              <w:rPr>
                <w:rFonts w:ascii="Garamond" w:hAnsi="Garamond"/>
              </w:rPr>
            </w:pPr>
          </w:p>
        </w:tc>
      </w:tr>
    </w:tbl>
    <w:p w:rsidR="001164BF" w:rsidRDefault="001164BF">
      <w:pPr>
        <w:ind w:left="360"/>
        <w:rPr>
          <w:rFonts w:ascii="Garamond" w:hAnsi="Garamond"/>
          <w:sz w:val="18"/>
        </w:rPr>
      </w:pPr>
      <w:r>
        <w:rPr>
          <w:rFonts w:ascii="Garamond" w:hAnsi="Garamond"/>
          <w:sz w:val="22"/>
        </w:rPr>
        <w:tab/>
      </w:r>
      <w:r>
        <w:rPr>
          <w:rFonts w:ascii="Garamond" w:hAnsi="Garamond"/>
          <w:sz w:val="22"/>
        </w:rPr>
        <w:tab/>
      </w:r>
      <w:r>
        <w:rPr>
          <w:rFonts w:ascii="Garamond" w:hAnsi="Garamond"/>
          <w:sz w:val="22"/>
        </w:rPr>
        <w:tab/>
      </w:r>
      <w:r>
        <w:rPr>
          <w:rFonts w:ascii="Garamond" w:hAnsi="Garamond"/>
          <w:sz w:val="18"/>
        </w:rPr>
        <w:t>Signature</w:t>
      </w:r>
      <w:r w:rsidR="00CC2BD4">
        <w:rPr>
          <w:rFonts w:ascii="Garamond" w:hAnsi="Garamond"/>
          <w:sz w:val="18"/>
        </w:rPr>
        <w:tab/>
      </w:r>
      <w:r w:rsidR="00CC2BD4">
        <w:rPr>
          <w:rFonts w:ascii="Garamond" w:hAnsi="Garamond"/>
          <w:sz w:val="18"/>
        </w:rPr>
        <w:tab/>
      </w:r>
      <w:r w:rsidR="00CC2BD4">
        <w:rPr>
          <w:rFonts w:ascii="Garamond" w:hAnsi="Garamond"/>
          <w:sz w:val="18"/>
        </w:rPr>
        <w:tab/>
      </w:r>
      <w:r w:rsidR="00CC2BD4">
        <w:rPr>
          <w:rFonts w:ascii="Garamond" w:hAnsi="Garamond"/>
          <w:sz w:val="18"/>
        </w:rPr>
        <w:tab/>
      </w:r>
      <w:r w:rsidR="00CC2BD4">
        <w:rPr>
          <w:rFonts w:ascii="Garamond" w:hAnsi="Garamond"/>
          <w:sz w:val="18"/>
        </w:rPr>
        <w:tab/>
      </w:r>
      <w:r w:rsidR="00CC2BD4">
        <w:rPr>
          <w:rFonts w:ascii="Garamond" w:hAnsi="Garamond"/>
          <w:sz w:val="18"/>
        </w:rPr>
        <w:tab/>
        <w:t xml:space="preserve">   Date</w:t>
      </w:r>
    </w:p>
    <w:p w:rsidR="001164BF" w:rsidRDefault="001164BF">
      <w:pPr>
        <w:jc w:val="both"/>
        <w:rPr>
          <w:rFonts w:ascii="Garamond" w:hAnsi="Garamond"/>
          <w:sz w:val="26"/>
        </w:rPr>
      </w:pPr>
    </w:p>
    <w:sectPr w:rsidR="001164BF" w:rsidSect="000E409B">
      <w:headerReference w:type="default" r:id="rId7"/>
      <w:footerReference w:type="even" r:id="rId8"/>
      <w:footerReference w:type="default" r:id="rId9"/>
      <w:pgSz w:w="12240" w:h="15840" w:code="1"/>
      <w:pgMar w:top="720" w:right="1080" w:bottom="446" w:left="144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C3" w:rsidRDefault="001849C3">
      <w:r>
        <w:separator/>
      </w:r>
    </w:p>
  </w:endnote>
  <w:endnote w:type="continuationSeparator" w:id="0">
    <w:p w:rsidR="001849C3" w:rsidRDefault="0018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D0" w:rsidRDefault="000D7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6D0" w:rsidRDefault="000D76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D0" w:rsidRDefault="000D7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18C5">
      <w:rPr>
        <w:rStyle w:val="PageNumber"/>
        <w:noProof/>
      </w:rPr>
      <w:t>2</w:t>
    </w:r>
    <w:r>
      <w:rPr>
        <w:rStyle w:val="PageNumber"/>
      </w:rPr>
      <w:fldChar w:fldCharType="end"/>
    </w:r>
  </w:p>
  <w:p w:rsidR="000D76D0" w:rsidRDefault="000D76D0">
    <w:pPr>
      <w:tabs>
        <w:tab w:val="right" w:leader="underscore" w:pos="9720"/>
      </w:tabs>
      <w:ind w:right="360" w:firstLine="270"/>
      <w:rPr>
        <w:rFonts w:ascii="Garamond" w:hAnsi="Garamond"/>
        <w:sz w:val="22"/>
      </w:rPr>
    </w:pPr>
    <w:r>
      <w:rPr>
        <w:rFonts w:ascii="Garamond" w:hAnsi="Garamond"/>
        <w:sz w:val="22"/>
      </w:rPr>
      <w:tab/>
    </w:r>
  </w:p>
  <w:p w:rsidR="000D76D0" w:rsidRDefault="000D76D0">
    <w:pPr>
      <w:ind w:left="270"/>
      <w:rPr>
        <w:rFonts w:ascii="Garamond" w:hAnsi="Garamond"/>
        <w:sz w:val="22"/>
      </w:rPr>
    </w:pPr>
    <w:r>
      <w:rPr>
        <w:rFonts w:ascii="Garamond" w:hAnsi="Garamond"/>
        <w:sz w:val="22"/>
      </w:rPr>
      <w:t>The length of time for the approval of your request will vary depending upon the depth or complexity of the reorganization.  It should be expected that approval of a reorganization request will take approximately two to three months from the submission of all information in final form to Human Resources.</w:t>
    </w:r>
  </w:p>
  <w:p w:rsidR="000D76D0" w:rsidRDefault="000D76D0">
    <w:pPr>
      <w:tabs>
        <w:tab w:val="num" w:pos="720"/>
      </w:tabs>
      <w:ind w:left="1440"/>
      <w:rPr>
        <w:sz w:val="18"/>
      </w:rPr>
    </w:pPr>
    <w:r>
      <w:rPr>
        <w:sz w:val="22"/>
      </w:rPr>
      <w:tab/>
    </w:r>
    <w:r>
      <w:rPr>
        <w:sz w:val="22"/>
      </w:rPr>
      <w:tab/>
    </w:r>
    <w:r>
      <w:rPr>
        <w:sz w:val="22"/>
      </w:rPr>
      <w:tab/>
    </w:r>
    <w:r>
      <w:rPr>
        <w:sz w:val="22"/>
      </w:rPr>
      <w:tab/>
    </w:r>
    <w:r>
      <w:rPr>
        <w:sz w:val="22"/>
      </w:rPr>
      <w:tab/>
    </w:r>
    <w:r>
      <w:rPr>
        <w:sz w:val="22"/>
      </w:rPr>
      <w:tab/>
    </w:r>
    <w:r>
      <w:rPr>
        <w:sz w:val="22"/>
      </w:rPr>
      <w:tab/>
    </w:r>
    <w:r>
      <w:rPr>
        <w:sz w:val="18"/>
      </w:rPr>
      <w:t>Department of Human Resources</w:t>
    </w:r>
  </w:p>
  <w:p w:rsidR="000E409B" w:rsidRDefault="00A318C5" w:rsidP="000E409B">
    <w:pPr>
      <w:pStyle w:val="Footer"/>
      <w:ind w:left="-720"/>
    </w:pPr>
    <w:r w:rsidRPr="00F2501C">
      <w:rPr>
        <w:noProof/>
      </w:rPr>
      <w:drawing>
        <wp:inline distT="0" distB="0" distL="0" distR="0">
          <wp:extent cx="2857500" cy="457200"/>
          <wp:effectExtent l="0" t="0" r="0" b="0"/>
          <wp:docPr id="1" name="Picture 1" descr="cwru formal logo blue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ru formal logo blue no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0D76D0" w:rsidRDefault="000D76D0" w:rsidP="000E409B">
    <w:pPr>
      <w:tabs>
        <w:tab w:val="num" w:pos="720"/>
      </w:tabs>
      <w:rPr>
        <w:sz w:val="18"/>
      </w:rPr>
    </w:pPr>
  </w:p>
  <w:p w:rsidR="000D76D0" w:rsidRDefault="000D76D0">
    <w:pPr>
      <w:tabs>
        <w:tab w:val="num" w:pos="720"/>
      </w:tabs>
      <w:ind w:left="1440"/>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C3" w:rsidRDefault="001849C3">
      <w:r>
        <w:separator/>
      </w:r>
    </w:p>
  </w:footnote>
  <w:footnote w:type="continuationSeparator" w:id="0">
    <w:p w:rsidR="001849C3" w:rsidRDefault="00184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D0" w:rsidRDefault="000D76D0">
    <w:pPr>
      <w:pStyle w:val="Header"/>
      <w:ind w:left="-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3B1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D4"/>
    <w:rsid w:val="00007F22"/>
    <w:rsid w:val="000D76D0"/>
    <w:rsid w:val="000E409B"/>
    <w:rsid w:val="001164BF"/>
    <w:rsid w:val="001849C3"/>
    <w:rsid w:val="001A547B"/>
    <w:rsid w:val="00216E30"/>
    <w:rsid w:val="00244319"/>
    <w:rsid w:val="00410D51"/>
    <w:rsid w:val="0046131B"/>
    <w:rsid w:val="00473A9E"/>
    <w:rsid w:val="00A318C5"/>
    <w:rsid w:val="00CC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00F66A-AEF9-4079-A245-E96557BC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rPr>
  </w:style>
  <w:style w:type="paragraph" w:styleId="Heading1">
    <w:name w:val="heading 1"/>
    <w:basedOn w:val="Normal"/>
    <w:next w:val="Normal"/>
    <w:qFormat/>
    <w:pPr>
      <w:keepNext/>
      <w:spacing w:before="120" w:after="12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mallCaps/>
      <w:color w:val="00008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360"/>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FooterChar">
    <w:name w:val="Footer Char"/>
    <w:basedOn w:val="DefaultParagraphFont"/>
    <w:link w:val="Footer"/>
    <w:uiPriority w:val="99"/>
    <w:rsid w:val="000E409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REORGANIZATION REQUEST GUIDE</vt:lpstr>
    </vt:vector>
  </TitlesOfParts>
  <Company>Dell Computer Corporation</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REORGANIZATION REQUEST GUIDE</dc:title>
  <dc:subject/>
  <dc:creator>Gail P. Shipley</dc:creator>
  <cp:keywords/>
  <cp:lastModifiedBy>Kathryn Willson</cp:lastModifiedBy>
  <cp:revision>2</cp:revision>
  <cp:lastPrinted>2004-10-21T16:11:00Z</cp:lastPrinted>
  <dcterms:created xsi:type="dcterms:W3CDTF">2017-09-28T18:34:00Z</dcterms:created>
  <dcterms:modified xsi:type="dcterms:W3CDTF">2017-09-28T18:34:00Z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388792157</vt:i4>
  </property>
  <property fmtid="{D5CDD505-2E9C-101B-9397-08002B2CF9AE}" pid="3" name="_ReviewingToolsShownOnce">
    <vt:lpwstr/>
  </property>
</Properties>
</file>